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FEFD8" w14:textId="0FE9DC9C" w:rsidR="00A2464E" w:rsidRDefault="004D6D91" w:rsidP="00A246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A2464E">
        <w:rPr>
          <w:rFonts w:ascii="Arial" w:hAnsi="Arial" w:cs="Arial"/>
          <w:b/>
          <w:sz w:val="32"/>
          <w:szCs w:val="32"/>
        </w:rPr>
        <w:t xml:space="preserve">DECRETO MUNICIPAL </w:t>
      </w:r>
      <w:proofErr w:type="gramStart"/>
      <w:r w:rsidR="00A2464E">
        <w:rPr>
          <w:rFonts w:ascii="Arial" w:hAnsi="Arial" w:cs="Arial"/>
          <w:b/>
          <w:sz w:val="32"/>
          <w:szCs w:val="32"/>
        </w:rPr>
        <w:t>N.º</w:t>
      </w:r>
      <w:proofErr w:type="gramEnd"/>
      <w:r w:rsidR="00A2464E">
        <w:rPr>
          <w:rFonts w:ascii="Arial" w:hAnsi="Arial" w:cs="Arial"/>
          <w:b/>
          <w:sz w:val="32"/>
          <w:szCs w:val="32"/>
        </w:rPr>
        <w:t xml:space="preserve"> 1.3</w:t>
      </w:r>
      <w:r>
        <w:rPr>
          <w:rFonts w:ascii="Arial" w:hAnsi="Arial" w:cs="Arial"/>
          <w:b/>
          <w:sz w:val="32"/>
          <w:szCs w:val="32"/>
        </w:rPr>
        <w:t>91</w:t>
      </w:r>
      <w:r w:rsidR="00A2464E">
        <w:rPr>
          <w:rFonts w:ascii="Arial" w:hAnsi="Arial" w:cs="Arial"/>
          <w:b/>
          <w:sz w:val="32"/>
          <w:szCs w:val="32"/>
        </w:rPr>
        <w:t xml:space="preserve">/2020. </w:t>
      </w:r>
    </w:p>
    <w:p w14:paraId="587F41D3" w14:textId="77777777" w:rsidR="004D6D91" w:rsidRDefault="004D6D91" w:rsidP="00A2464E">
      <w:pPr>
        <w:rPr>
          <w:rFonts w:ascii="Arial" w:hAnsi="Arial" w:cs="Arial"/>
          <w:b/>
          <w:sz w:val="32"/>
          <w:szCs w:val="32"/>
        </w:rPr>
      </w:pPr>
    </w:p>
    <w:p w14:paraId="4FBFACB6" w14:textId="77777777" w:rsidR="004D6D91" w:rsidRPr="00024C73" w:rsidRDefault="004D6D91" w:rsidP="004D6D91">
      <w:pPr>
        <w:spacing w:after="120" w:line="36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Regulamenta o tratamento favorecido, diferenciado e simplificado para as microempresas, empresas de pequeno porte, agricultores familiares, produtores rurais pessoa física, microempreendedores individuais e sociedades cooperativas de consumo nas contratações públicas de bens, serviços e obras no âmbito da administração </w:t>
      </w:r>
      <w:r w:rsidRPr="00024C73">
        <w:rPr>
          <w:rFonts w:ascii="Arial" w:hAnsi="Arial" w:cs="Arial"/>
          <w:sz w:val="20"/>
          <w:szCs w:val="20"/>
        </w:rPr>
        <w:t>pública municipal.</w:t>
      </w:r>
    </w:p>
    <w:p w14:paraId="5FD0FB0C" w14:textId="77777777" w:rsidR="00A2464E" w:rsidRDefault="00A2464E" w:rsidP="00A2464E">
      <w:pPr>
        <w:ind w:left="3544"/>
        <w:jc w:val="both"/>
        <w:rPr>
          <w:rFonts w:ascii="Arial" w:hAnsi="Arial" w:cs="Arial"/>
        </w:rPr>
      </w:pPr>
    </w:p>
    <w:p w14:paraId="2A9D760B" w14:textId="33C633C2" w:rsidR="00A2464E" w:rsidRPr="004D6D91" w:rsidRDefault="004D6D91" w:rsidP="004D6D91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A2464E" w:rsidRPr="004D6D91">
        <w:rPr>
          <w:rFonts w:ascii="Arial" w:hAnsi="Arial" w:cs="Arial"/>
          <w:b/>
          <w:sz w:val="20"/>
          <w:szCs w:val="20"/>
        </w:rPr>
        <w:t>ELENISE ALVES CABRAL PEREIRA,</w:t>
      </w:r>
      <w:r w:rsidR="00A2464E" w:rsidRPr="004D6D91">
        <w:rPr>
          <w:rFonts w:ascii="Arial" w:hAnsi="Arial" w:cs="Arial"/>
          <w:sz w:val="20"/>
          <w:szCs w:val="20"/>
        </w:rPr>
        <w:t xml:space="preserve"> Prefeita Municipal de Muitos Capões (RS), em exercício, no uso de suas atribuições legais, e tendo em vista o disposto nos </w:t>
      </w:r>
      <w:proofErr w:type="spellStart"/>
      <w:r w:rsidR="00A2464E" w:rsidRPr="004D6D91">
        <w:rPr>
          <w:rFonts w:ascii="Arial" w:hAnsi="Arial" w:cs="Arial"/>
          <w:sz w:val="20"/>
          <w:szCs w:val="20"/>
        </w:rPr>
        <w:t>arts</w:t>
      </w:r>
      <w:proofErr w:type="spellEnd"/>
      <w:r w:rsidR="00A2464E" w:rsidRPr="004D6D91">
        <w:rPr>
          <w:rFonts w:ascii="Arial" w:hAnsi="Arial" w:cs="Arial"/>
          <w:sz w:val="20"/>
          <w:szCs w:val="20"/>
        </w:rPr>
        <w:t xml:space="preserve">. 42 a 45 e </w:t>
      </w:r>
      <w:proofErr w:type="spellStart"/>
      <w:r w:rsidR="00A2464E" w:rsidRPr="004D6D91">
        <w:rPr>
          <w:rFonts w:ascii="Arial" w:hAnsi="Arial" w:cs="Arial"/>
          <w:sz w:val="20"/>
          <w:szCs w:val="20"/>
        </w:rPr>
        <w:t>arts</w:t>
      </w:r>
      <w:proofErr w:type="spellEnd"/>
      <w:r w:rsidR="00A2464E" w:rsidRPr="004D6D91">
        <w:rPr>
          <w:rFonts w:ascii="Arial" w:hAnsi="Arial" w:cs="Arial"/>
          <w:sz w:val="20"/>
          <w:szCs w:val="20"/>
        </w:rPr>
        <w:t>. 47 a 49 da Lei Complementar nº 123, de 14 de dezembro de 2006,</w:t>
      </w:r>
    </w:p>
    <w:p w14:paraId="75C640E9" w14:textId="77777777" w:rsidR="00A2464E" w:rsidRPr="004D6D91" w:rsidRDefault="00A2464E" w:rsidP="004D6D91">
      <w:pPr>
        <w:spacing w:after="120"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02C04">
        <w:rPr>
          <w:rFonts w:ascii="Arial" w:hAnsi="Arial" w:cs="Arial"/>
          <w:sz w:val="20"/>
          <w:szCs w:val="20"/>
        </w:rPr>
        <w:br/>
      </w:r>
      <w:r w:rsidRPr="004D6D91">
        <w:rPr>
          <w:rFonts w:ascii="Arial" w:hAnsi="Arial" w:cs="Arial"/>
          <w:b/>
          <w:sz w:val="32"/>
          <w:szCs w:val="32"/>
        </w:rPr>
        <w:t>DECRETA:</w:t>
      </w:r>
    </w:p>
    <w:p w14:paraId="35D247F1" w14:textId="77777777" w:rsidR="004D6D91" w:rsidRDefault="004D6D91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C598E1A" w14:textId="55BC59EA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1º</w:t>
      </w:r>
      <w:r w:rsidRPr="00402C04">
        <w:rPr>
          <w:rFonts w:ascii="Arial" w:hAnsi="Arial" w:cs="Arial"/>
          <w:sz w:val="20"/>
          <w:szCs w:val="20"/>
        </w:rPr>
        <w:t xml:space="preserve"> Nas contratações públicas de bens, serviços e obras, deverá ser concedido tratamento favorecido, diferenciado e simplificado para as microempresas e empresas de pequeno porte, agricultor familiar, produtor rural pessoa física, microempreendedor individual </w:t>
      </w:r>
      <w:r w:rsidRPr="00402C04">
        <w:rPr>
          <w:rFonts w:ascii="Arial" w:hAnsi="Arial" w:cs="Arial"/>
          <w:sz w:val="20"/>
          <w:szCs w:val="20"/>
        </w:rPr>
        <w:softHyphen/>
        <w:t xml:space="preserve"> MEI e sociedades cooperativas de consumo, nos termos deste Decreto, com o objetivo de:</w:t>
      </w:r>
    </w:p>
    <w:p w14:paraId="02AD5284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promover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o desenvolvimento econômico e social no âmbito local e regional;</w:t>
      </w:r>
    </w:p>
    <w:p w14:paraId="4E4347FA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402C04">
        <w:rPr>
          <w:rFonts w:ascii="Arial" w:hAnsi="Arial" w:cs="Arial"/>
          <w:sz w:val="20"/>
          <w:szCs w:val="20"/>
        </w:rPr>
        <w:t>ampliar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a eficiência das políticas públicas;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062D1A3E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III – incentivar a inovação tecnológica.</w:t>
      </w:r>
    </w:p>
    <w:p w14:paraId="0B546D88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1º Subordinam-</w:t>
      </w:r>
      <w:r w:rsidRPr="00402C04">
        <w:rPr>
          <w:rFonts w:ascii="Arial" w:hAnsi="Arial" w:cs="Arial"/>
          <w:sz w:val="20"/>
          <w:szCs w:val="20"/>
        </w:rPr>
        <w:softHyphen/>
        <w:t>se ao disposto neste Decreto, além dos órgãos da administração pública municipal direta, os fundos especiais, as autarquias, as fundações públicas, as empresas públicas, as sociedades de economia mista e as demais entidades controladas direta ou indiretamente pelo Município.</w:t>
      </w:r>
    </w:p>
    <w:p w14:paraId="40FAA5F1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2º Para efeitos deste Decreto, considera-</w:t>
      </w:r>
      <w:r w:rsidRPr="00402C04">
        <w:rPr>
          <w:rFonts w:ascii="Arial" w:hAnsi="Arial" w:cs="Arial"/>
          <w:sz w:val="20"/>
          <w:szCs w:val="20"/>
        </w:rPr>
        <w:softHyphen/>
        <w:t>se:</w:t>
      </w:r>
    </w:p>
    <w:p w14:paraId="6ABCD67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âmbito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local: </w:t>
      </w:r>
      <w:r w:rsidRPr="00402C04">
        <w:rPr>
          <w:rFonts w:ascii="Arial" w:hAnsi="Arial" w:cs="Arial"/>
          <w:sz w:val="20"/>
          <w:szCs w:val="20"/>
        </w:rPr>
        <w:softHyphen/>
        <w:t xml:space="preserve"> limites geográficos do Município onde será executado o objeto da contratação;</w:t>
      </w:r>
    </w:p>
    <w:p w14:paraId="697D14E8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4653339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lastRenderedPageBreak/>
        <w:t xml:space="preserve">II – </w:t>
      </w:r>
      <w:proofErr w:type="gramStart"/>
      <w:r w:rsidRPr="00402C04">
        <w:rPr>
          <w:rFonts w:ascii="Arial" w:hAnsi="Arial" w:cs="Arial"/>
          <w:sz w:val="20"/>
          <w:szCs w:val="20"/>
        </w:rPr>
        <w:t>âmbito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regional: </w:t>
      </w:r>
      <w:r w:rsidRPr="00402C04">
        <w:rPr>
          <w:rFonts w:ascii="Arial" w:hAnsi="Arial" w:cs="Arial"/>
          <w:sz w:val="20"/>
          <w:szCs w:val="20"/>
        </w:rPr>
        <w:softHyphen/>
        <w:t xml:space="preserve"> limites geográficos do Estado ou da região metropolitana, que podem envolver mesorregiões ou microrregiões, conforme definido pelo Instituto Brasileiro de Geografia e Estatística – </w:t>
      </w:r>
      <w:r w:rsidRPr="00402C04">
        <w:rPr>
          <w:rFonts w:ascii="Arial" w:hAnsi="Arial" w:cs="Arial"/>
          <w:sz w:val="20"/>
          <w:szCs w:val="20"/>
        </w:rPr>
        <w:softHyphen/>
        <w:t xml:space="preserve"> IBGE;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296AF2D1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III – microempresas e empresas de pequeno porte: </w:t>
      </w:r>
      <w:r w:rsidRPr="00402C04">
        <w:rPr>
          <w:rFonts w:ascii="Arial" w:hAnsi="Arial" w:cs="Arial"/>
          <w:sz w:val="20"/>
          <w:szCs w:val="20"/>
        </w:rPr>
        <w:softHyphen/>
        <w:t xml:space="preserve"> os beneficiados pela Lei Complementar nº 123, de 14 de dezembro de 2006, nos termos do inciso I do caput do art. 13</w:t>
      </w:r>
      <w:r>
        <w:rPr>
          <w:rFonts w:ascii="Arial" w:hAnsi="Arial" w:cs="Arial"/>
          <w:sz w:val="20"/>
          <w:szCs w:val="20"/>
        </w:rPr>
        <w:t xml:space="preserve"> deste Decreto</w:t>
      </w:r>
      <w:r w:rsidRPr="00402C04">
        <w:rPr>
          <w:rFonts w:ascii="Arial" w:hAnsi="Arial" w:cs="Arial"/>
          <w:sz w:val="20"/>
          <w:szCs w:val="20"/>
        </w:rPr>
        <w:t>.</w:t>
      </w:r>
    </w:p>
    <w:p w14:paraId="06F1FEFE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3º Admite-</w:t>
      </w:r>
      <w:r w:rsidRPr="00402C04">
        <w:rPr>
          <w:rFonts w:ascii="Arial" w:hAnsi="Arial" w:cs="Arial"/>
          <w:sz w:val="20"/>
          <w:szCs w:val="20"/>
        </w:rPr>
        <w:softHyphen/>
        <w:t>se a adoção de outro critério de definição de âmbito local e regional, justificadamente, em edital, desde que atenda aos objetivos previstos no art. 1º.</w:t>
      </w:r>
    </w:p>
    <w:p w14:paraId="0CCFF932" w14:textId="77777777" w:rsidR="00A2464E" w:rsidRPr="00645E61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§ 4º Para fins do disposto neste Decreto, serão beneficiados pelo tratamento favorecido apenas o produtor rural pessoa física e o agricultor familiar conceituado na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 xml:space="preserve">nº 11.326, de 24 de julho de 2006, que estejam em situação regular junto à Previdência Social e ao Município e tenham auferido receita bruta anual até o limite de que trata o inciso II do caput do art. 3º </w:t>
      </w:r>
      <w:r w:rsidRPr="00645E61">
        <w:rPr>
          <w:rFonts w:ascii="Arial" w:hAnsi="Arial" w:cs="Arial"/>
          <w:sz w:val="20"/>
          <w:szCs w:val="20"/>
        </w:rPr>
        <w:t>da Lei Complementar nº 123, de 2006.</w:t>
      </w:r>
    </w:p>
    <w:p w14:paraId="21979901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2º</w:t>
      </w:r>
      <w:r w:rsidRPr="00402C04">
        <w:rPr>
          <w:rFonts w:ascii="Arial" w:hAnsi="Arial" w:cs="Arial"/>
          <w:sz w:val="20"/>
          <w:szCs w:val="20"/>
        </w:rPr>
        <w:t xml:space="preserve"> Para a ampliação da participação das microempresas e empresas de pequeno porte nas licitações, os órgãos ou as entidades contratantes deverão, sempre que possível:</w:t>
      </w:r>
    </w:p>
    <w:p w14:paraId="4FD58AC9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 – </w:t>
      </w:r>
      <w:r w:rsidRPr="00402C04">
        <w:rPr>
          <w:rFonts w:ascii="Arial" w:hAnsi="Arial" w:cs="Arial"/>
          <w:sz w:val="20"/>
          <w:szCs w:val="20"/>
        </w:rPr>
        <w:softHyphen/>
        <w:t>instituir cadastro próprio, de acesso livre, ou adequar os eventuais cadastros existentes, para identificar as microempresas e empresas de pequeno porte sediadas regionalmente, juntamente com suas linhas de fornecimento, de modo a possibilitar a notificação das licitações e facilitar a formação de parcerias e as subcontratações;</w:t>
      </w:r>
    </w:p>
    <w:p w14:paraId="4E3A2F8A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– </w:t>
      </w:r>
      <w:r w:rsidRPr="00402C04">
        <w:rPr>
          <w:rFonts w:ascii="Arial" w:hAnsi="Arial" w:cs="Arial"/>
          <w:sz w:val="20"/>
          <w:szCs w:val="20"/>
        </w:rPr>
        <w:softHyphen/>
        <w:t xml:space="preserve"> padronizar e divulgar as especificações dos bens, serviços e obras contratados, de modo a orientar as microempresas e empresas de pequeno porte para que adequem os seus processos produtivos;</w:t>
      </w:r>
    </w:p>
    <w:p w14:paraId="293E97E7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III – na definição do objeto da contratação, não utilizar especificações que restrinjam, injustificadamente, a participação das microempresas e empresas de pequeno porte sediadas regionalmente;</w:t>
      </w:r>
    </w:p>
    <w:p w14:paraId="6156396E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IV – </w:t>
      </w:r>
      <w:proofErr w:type="gramStart"/>
      <w:r w:rsidRPr="00402C04">
        <w:rPr>
          <w:rFonts w:ascii="Arial" w:hAnsi="Arial" w:cs="Arial"/>
          <w:sz w:val="20"/>
          <w:szCs w:val="20"/>
        </w:rPr>
        <w:t>considerar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, na construção de itens, grupos ou lotes da licitação, a oferta local ou regional dos bens e serviços a serem contratados;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43E619DC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V – </w:t>
      </w:r>
      <w:proofErr w:type="gramStart"/>
      <w:r w:rsidRPr="00402C04">
        <w:rPr>
          <w:rFonts w:ascii="Arial" w:hAnsi="Arial" w:cs="Arial"/>
          <w:sz w:val="20"/>
          <w:szCs w:val="20"/>
        </w:rPr>
        <w:t>disponibilizar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informações no sítio eletrônico oficial do órgão ou da entidade contratante sobre regras para participação nas licitações e cadastramento e prazos, regras e condições usuais de pagamento.</w:t>
      </w:r>
    </w:p>
    <w:p w14:paraId="6D7AF226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3º</w:t>
      </w:r>
      <w:r w:rsidRPr="00402C04">
        <w:rPr>
          <w:rFonts w:ascii="Arial" w:hAnsi="Arial" w:cs="Arial"/>
          <w:sz w:val="20"/>
          <w:szCs w:val="20"/>
        </w:rPr>
        <w:t xml:space="preserve"> Na habilitação em licitações para o fornecimento de bens para pronta entrega ou para a locação de materiais, não será exigida da microempresa ou da empresa de pequeno porte a apresentação de balanço patrimonial do último exercício social.</w:t>
      </w:r>
    </w:p>
    <w:p w14:paraId="20A884D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BFD9282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26FDCEA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lastRenderedPageBreak/>
        <w:t>Art. 4º</w:t>
      </w:r>
      <w:r w:rsidRPr="00402C04">
        <w:rPr>
          <w:rFonts w:ascii="Arial" w:hAnsi="Arial" w:cs="Arial"/>
          <w:sz w:val="20"/>
          <w:szCs w:val="20"/>
        </w:rPr>
        <w:t xml:space="preserve"> A comprovação de regularidade fiscal das microempresas e empresas de pequeno porte somente será exigida para efeito de contratação, e não como condição para participação na licitação.</w:t>
      </w:r>
    </w:p>
    <w:p w14:paraId="587AE575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1º Na hipótese de haver alguma restrição relativa à regularidade fiscal quando da comprovação de que trata o caput, será assegurado prazo de cinco dias úteis, prorrogável por igual período, para a regularização da documentação, a realização do pagamento ou parcelamento do débito e a emissão de eventuais certidões negativas ou positivas com efeito de certidão negativa.</w:t>
      </w:r>
    </w:p>
    <w:p w14:paraId="7DC19B48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2º Para aplicação do disposto no § 1º, o prazo para regularização fiscal será contado a partir:</w:t>
      </w:r>
    </w:p>
    <w:p w14:paraId="076F1AF0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da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divulgação do resultado da fase de habilitação, na licitação na modalidade pregão e nas regidas pelo Regime Diferenciado de Contratações Públicas sem inversão de fases; </w:t>
      </w:r>
      <w:proofErr w:type="gramStart"/>
      <w:r w:rsidRPr="00402C04">
        <w:rPr>
          <w:rFonts w:ascii="Arial" w:hAnsi="Arial" w:cs="Arial"/>
          <w:sz w:val="20"/>
          <w:szCs w:val="20"/>
        </w:rPr>
        <w:t>ou</w:t>
      </w:r>
      <w:proofErr w:type="gramEnd"/>
    </w:p>
    <w:p w14:paraId="4C690D61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402C04">
        <w:rPr>
          <w:rFonts w:ascii="Arial" w:hAnsi="Arial" w:cs="Arial"/>
          <w:sz w:val="20"/>
          <w:szCs w:val="20"/>
        </w:rPr>
        <w:t>da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divulgação do resultado do julgamento das propostas, nas modalidades de licitação previstas na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8.666, de 21 de junho de 1993, e nas regidas pelo Regime Diferenciado de Contratações Públicas com a inversão de fases.</w:t>
      </w:r>
    </w:p>
    <w:p w14:paraId="753311CF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3º A prorrogação do prazo previsto no § 1º poderá ser concedida, a critério da administração pública, quando requerida pelo licitante, mediante apresentação de justificativa.</w:t>
      </w:r>
    </w:p>
    <w:p w14:paraId="433F2EA8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4º A abertura da fase recursal em relação ao resultado do certame ocorrerá após os prazos de regularização fiscal de que tratam os §§ 1º e 3º.</w:t>
      </w:r>
    </w:p>
    <w:p w14:paraId="69EDB1A1" w14:textId="77777777" w:rsidR="00A2464E" w:rsidRPr="00402C04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§ 5º A não regularização da documentação no prazo previsto nos §§ 1º e 3º implicará decadência do direito à contratação, sem prejuízo das sanções previstas no art. 87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8.666, de 1993, sendo facultado à administração pública convocar os licitantes remanescentes, na ordem de classificação, ou revogar a licitação.</w:t>
      </w:r>
    </w:p>
    <w:p w14:paraId="5EC45C15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5º</w:t>
      </w:r>
      <w:r w:rsidRPr="00402C04">
        <w:rPr>
          <w:rFonts w:ascii="Arial" w:hAnsi="Arial" w:cs="Arial"/>
          <w:sz w:val="20"/>
          <w:szCs w:val="20"/>
        </w:rPr>
        <w:t xml:space="preserve"> Nas licitações, será assegurada, como critério de desempate, preferência de contratação para as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microempresas e empresas de pequeno porte.</w:t>
      </w:r>
    </w:p>
    <w:p w14:paraId="2E0D6F5E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1º Entende</w:t>
      </w:r>
      <w:r w:rsidRPr="00402C04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t>se haver empate quando as ofertas apresentadas pelas microempresas e empresas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de pequeno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porte sejam iguais ou até </w:t>
      </w:r>
      <w:r>
        <w:rPr>
          <w:rFonts w:ascii="Arial" w:hAnsi="Arial" w:cs="Arial"/>
          <w:sz w:val="20"/>
          <w:szCs w:val="20"/>
        </w:rPr>
        <w:t>10 (</w:t>
      </w:r>
      <w:r w:rsidRPr="00402C04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)</w:t>
      </w:r>
      <w:r w:rsidRPr="00402C0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2C04">
        <w:rPr>
          <w:rFonts w:ascii="Arial" w:hAnsi="Arial" w:cs="Arial"/>
          <w:sz w:val="20"/>
          <w:szCs w:val="20"/>
        </w:rPr>
        <w:t>por cento superiores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ao menor preço, ressalvado o disposto no § 2º.</w:t>
      </w:r>
    </w:p>
    <w:p w14:paraId="5476258A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2º Na modalidade de pregão, entende</w:t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softHyphen/>
        <w:t>se haver empate quando as ofertas apresentadas pelas microempresas 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empresas de pequeno porte sejam iguais ou até </w:t>
      </w:r>
      <w:r>
        <w:rPr>
          <w:rFonts w:ascii="Arial" w:hAnsi="Arial" w:cs="Arial"/>
          <w:sz w:val="20"/>
          <w:szCs w:val="20"/>
        </w:rPr>
        <w:t>5 (</w:t>
      </w:r>
      <w:r w:rsidRPr="00402C04">
        <w:rPr>
          <w:rFonts w:ascii="Arial" w:hAnsi="Arial" w:cs="Arial"/>
          <w:sz w:val="20"/>
          <w:szCs w:val="20"/>
        </w:rPr>
        <w:t>cinco</w:t>
      </w:r>
      <w:r>
        <w:rPr>
          <w:rFonts w:ascii="Arial" w:hAnsi="Arial" w:cs="Arial"/>
          <w:sz w:val="20"/>
          <w:szCs w:val="20"/>
        </w:rPr>
        <w:t>)</w:t>
      </w:r>
      <w:r w:rsidRPr="00402C0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2C04">
        <w:rPr>
          <w:rFonts w:ascii="Arial" w:hAnsi="Arial" w:cs="Arial"/>
          <w:sz w:val="20"/>
          <w:szCs w:val="20"/>
        </w:rPr>
        <w:t>por cento superiores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ao menor preço.</w:t>
      </w:r>
    </w:p>
    <w:p w14:paraId="538B0868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3º O disposto neste artigo somente se aplicará quando a melhor oferta válida não houver sido apresentada por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microempresa ou empresa de pequeno porte.</w:t>
      </w:r>
    </w:p>
    <w:p w14:paraId="17CE5F7E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30A2A3D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lastRenderedPageBreak/>
        <w:t>§ 4º A preferência de que trata o caput será concedida da seguinte forma:</w:t>
      </w:r>
    </w:p>
    <w:p w14:paraId="08030F00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ocorrendo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o empate, a microempresa ou a empresa de pequeno porte melhor classificada poderá apresentar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proposta de preço inferior àquela considerada vencedora do certame,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situação em que será adjudicado o objeto em seu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favor;</w:t>
      </w:r>
    </w:p>
    <w:p w14:paraId="7863263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402C04">
        <w:rPr>
          <w:rFonts w:ascii="Arial" w:hAnsi="Arial" w:cs="Arial"/>
          <w:sz w:val="20"/>
          <w:szCs w:val="20"/>
        </w:rPr>
        <w:t>não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ocorrendo a contratação da microempresa ou empresa de pequeno porte, na forma do inciso I, serão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convocadas as remanescentes que porventura se enquadrem na situação de empate, na ordem classificatória, para 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exercício do mesmo direito;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0EBF4862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</w:t>
      </w:r>
      <w:r w:rsidRPr="00402C04">
        <w:rPr>
          <w:rFonts w:ascii="Arial" w:hAnsi="Arial" w:cs="Arial"/>
          <w:sz w:val="20"/>
          <w:szCs w:val="20"/>
        </w:rPr>
        <w:t>no caso de equivalência dos valores apresentados pelas microempresas e empresas de pequeno porte que se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encontrem em situação de empate, será realizado sorteio entre elas para que se identifique aquela que primeiro poderá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apresentar melhor oferta.</w:t>
      </w:r>
    </w:p>
    <w:p w14:paraId="5B489711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5º Não se aplica o sorteio a que se refere o inciso III do § 4º quando, por sua natureza, o procedimento não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admitir o empate real, como acontece na fase de lances do pregão, em que os lances equivalentes não são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considerados iguais, sendo classificados de acordo com a ordem de apresentação pelos licitantes.</w:t>
      </w:r>
    </w:p>
    <w:p w14:paraId="0AD83B40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6º No caso do pregão, após o encerramento dos lances, a microempresa ou a empresa de pequeno porte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melhor classificada será convocada para apresentar nova proposta no prazo máximo de cinco minutos por item em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situação de empate, sob pena de preclusão.</w:t>
      </w:r>
    </w:p>
    <w:p w14:paraId="2465B216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7º Nas demais modalidades de licitação, o prazo para os licitantes apresentarem nova proposta será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estabelecido pelo órgão ou pela entidade contratante e estará previsto no instrumento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convocatório.</w:t>
      </w:r>
    </w:p>
    <w:p w14:paraId="6C6DB36E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8º Nas licitações do tipo técnica e preço, o empate será aferido levando em consideração o resultado da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ponderação entre a técnica e o preço na proposta apresentada pelos licitantes, sendo facultada à microempresa ou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empresa de pequeno porte melhor classificada a possibilidade de apresentar proposta </w:t>
      </w:r>
      <w:r>
        <w:rPr>
          <w:rFonts w:ascii="Arial" w:hAnsi="Arial" w:cs="Arial"/>
          <w:sz w:val="20"/>
          <w:szCs w:val="20"/>
        </w:rPr>
        <w:t>de preço inferior, nos termos previstos em edital</w:t>
      </w:r>
      <w:r w:rsidRPr="00402C04">
        <w:rPr>
          <w:rFonts w:ascii="Arial" w:hAnsi="Arial" w:cs="Arial"/>
          <w:sz w:val="20"/>
          <w:szCs w:val="20"/>
        </w:rPr>
        <w:t>.</w:t>
      </w:r>
    </w:p>
    <w:p w14:paraId="47898111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§ 9º Conforme disposto nos §§ 14 e 15 do art. 3º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8.666, de 1993, o critério de desempate previsto neste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artigo observará as seguintes regras:</w:t>
      </w:r>
    </w:p>
    <w:p w14:paraId="012937A1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quando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houver propostas beneficiadas com as margens de preferência em relação ao produto estrangeiro, 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critério de desempate será aplicado exclusivamente entre as propostas que fizerem jus às margens de preferência,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conforme regulamento;</w:t>
      </w:r>
    </w:p>
    <w:p w14:paraId="2547D5C9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402C04">
        <w:rPr>
          <w:rFonts w:ascii="Arial" w:hAnsi="Arial" w:cs="Arial"/>
          <w:sz w:val="20"/>
          <w:szCs w:val="20"/>
        </w:rPr>
        <w:t>nas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contratações de bens e serviços de informática e automação, nos termos da Lei</w:t>
      </w:r>
      <w:r>
        <w:rPr>
          <w:rFonts w:ascii="Arial" w:hAnsi="Arial" w:cs="Arial"/>
          <w:sz w:val="20"/>
          <w:szCs w:val="20"/>
        </w:rPr>
        <w:t xml:space="preserve"> Federal</w:t>
      </w:r>
      <w:r w:rsidRPr="00402C04">
        <w:rPr>
          <w:rFonts w:ascii="Arial" w:hAnsi="Arial" w:cs="Arial"/>
          <w:sz w:val="20"/>
          <w:szCs w:val="20"/>
        </w:rPr>
        <w:t xml:space="preserve"> nº 8.248, de 23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outubro de 1991, as microempresas e as empresas de pequeno porte que fizerem jus ao direito de preferência previsto</w:t>
      </w:r>
      <w:r>
        <w:rPr>
          <w:rFonts w:ascii="Arial" w:hAnsi="Arial" w:cs="Arial"/>
          <w:sz w:val="20"/>
          <w:szCs w:val="20"/>
        </w:rPr>
        <w:t xml:space="preserve"> em decreto específico</w:t>
      </w:r>
      <w:r w:rsidRPr="00402C04">
        <w:rPr>
          <w:rFonts w:ascii="Arial" w:hAnsi="Arial" w:cs="Arial"/>
          <w:sz w:val="20"/>
          <w:szCs w:val="20"/>
        </w:rPr>
        <w:t>, terão prioridade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E13FA2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F53175D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1B3FCFE" w14:textId="5F1EAB89" w:rsidR="00A2464E" w:rsidRDefault="00A2464E" w:rsidP="00A246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n</w:t>
      </w:r>
      <w:r w:rsidRPr="00402C04">
        <w:rPr>
          <w:rFonts w:ascii="Arial" w:hAnsi="Arial" w:cs="Arial"/>
          <w:sz w:val="20"/>
          <w:szCs w:val="20"/>
        </w:rPr>
        <w:t>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exercício desse benefício em relação às médias e às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grandes empresas na mesma situação</w:t>
      </w:r>
      <w:r>
        <w:rPr>
          <w:rFonts w:ascii="Arial" w:hAnsi="Arial" w:cs="Arial"/>
          <w:sz w:val="20"/>
          <w:szCs w:val="20"/>
        </w:rPr>
        <w:t>.</w:t>
      </w:r>
    </w:p>
    <w:p w14:paraId="70FD4435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6º</w:t>
      </w:r>
      <w:r w:rsidRPr="00402C04">
        <w:rPr>
          <w:rFonts w:ascii="Arial" w:hAnsi="Arial" w:cs="Arial"/>
          <w:sz w:val="20"/>
          <w:szCs w:val="20"/>
        </w:rPr>
        <w:t xml:space="preserve"> Os órgãos e as entidades contratantes deverão realizar processo licitatório destinado exclusivamente à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participação de microempresas e empresas de pequeno porte nos itens ou lotes de licitação cujo valor seja de até R$</w:t>
      </w:r>
      <w:r>
        <w:rPr>
          <w:rFonts w:ascii="Arial" w:hAnsi="Arial" w:cs="Arial"/>
          <w:sz w:val="20"/>
          <w:szCs w:val="20"/>
        </w:rPr>
        <w:t xml:space="preserve"> 80.000,00 (oitenta mil R</w:t>
      </w:r>
      <w:r w:rsidRPr="00402C04">
        <w:rPr>
          <w:rFonts w:ascii="Arial" w:hAnsi="Arial" w:cs="Arial"/>
          <w:sz w:val="20"/>
          <w:szCs w:val="20"/>
        </w:rPr>
        <w:t>eais).</w:t>
      </w:r>
    </w:p>
    <w:p w14:paraId="3F2E9E57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7º</w:t>
      </w:r>
      <w:r w:rsidRPr="00402C04">
        <w:rPr>
          <w:rFonts w:ascii="Arial" w:hAnsi="Arial" w:cs="Arial"/>
          <w:sz w:val="20"/>
          <w:szCs w:val="20"/>
        </w:rPr>
        <w:t xml:space="preserve"> Nas licitações para contratação de serviços e obras, os órgãos e as entidades contratantes poderão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estabelecer, nos instrumentos convocatórios, a exigência de subcontratação de microempresas ou empresas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pequeno porte, sob pena de rescisão contratual, sem prejuízo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das sanções legais, determinando:</w:t>
      </w:r>
    </w:p>
    <w:p w14:paraId="7A7D4E89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 w:rsidRPr="00402C04">
        <w:rPr>
          <w:rFonts w:ascii="Arial" w:hAnsi="Arial" w:cs="Arial"/>
          <w:sz w:val="20"/>
          <w:szCs w:val="20"/>
        </w:rPr>
        <w:t>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percentual mínimo a ser subcontratado e o percentual máximo admitido, a serem estabelecidos no edital,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sendo vedada a sub</w:t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softHyphen/>
        <w:t>rogação completa ou da parcela principal da contratação;</w:t>
      </w:r>
    </w:p>
    <w:p w14:paraId="343AE34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</w:t>
      </w:r>
      <w:r w:rsidRPr="00402C04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 xml:space="preserve">– </w:t>
      </w:r>
      <w:r w:rsidRPr="00402C04">
        <w:rPr>
          <w:rFonts w:ascii="Arial" w:hAnsi="Arial" w:cs="Arial"/>
          <w:sz w:val="20"/>
          <w:szCs w:val="20"/>
        </w:rPr>
        <w:t>que as microempresas e as empresas de pequeno porte a serem subcontratadas sejam indicadas 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qualificadas pelos licitantes com a descrição dos bens e serviços a serem fornecidos e seus respectivos valores;</w:t>
      </w:r>
    </w:p>
    <w:p w14:paraId="522E8219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softHyphen/>
        <w:t xml:space="preserve">– </w:t>
      </w:r>
      <w:r w:rsidRPr="00402C04">
        <w:rPr>
          <w:rFonts w:ascii="Arial" w:hAnsi="Arial" w:cs="Arial"/>
          <w:sz w:val="20"/>
          <w:szCs w:val="20"/>
        </w:rPr>
        <w:t>que, no momento da habilitação e ao longo da vigência contratual, seja apresentada a documentação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regularidade fiscal das microempresas e empresas de pequeno porte subcontratadas, sob pena de rescisão, aplicando</w:t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t>se o prazo para regularização previsto no § 1º do art. 4º;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41C85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proofErr w:type="gramStart"/>
      <w:r w:rsidRPr="00402C04">
        <w:rPr>
          <w:rFonts w:ascii="Arial" w:hAnsi="Arial" w:cs="Arial"/>
          <w:sz w:val="20"/>
          <w:szCs w:val="20"/>
        </w:rPr>
        <w:t>que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a empresa contratada comprometa</w:t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softHyphen/>
        <w:t>se a substituir a subcontratada, no prazo máximo de trinta dias, na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hipótese de extinção da subcontratação, mantendo o percentual originalmente subcontratado até a sua execução total,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notificando o órgão ou entidade contratante, sob pena de rescisão, sem prejuízo das sanções cabíveis, ou a demonstrar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 inviabilidade da substituição, hipótese em que ficará responsável pela execução da parcela originalmente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subcontratada;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3FB02BA4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– </w:t>
      </w:r>
      <w:proofErr w:type="gramStart"/>
      <w:r w:rsidRPr="00402C04">
        <w:rPr>
          <w:rFonts w:ascii="Arial" w:hAnsi="Arial" w:cs="Arial"/>
          <w:sz w:val="20"/>
          <w:szCs w:val="20"/>
        </w:rPr>
        <w:t>que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a empresa contratada responsabilize</w:t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softHyphen/>
        <w:t>se pela padronização, pela compatibilidade, pelo gerenciamento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centralizado e pela qualidade da subcontratação.</w:t>
      </w:r>
    </w:p>
    <w:p w14:paraId="64871196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1º Deverá constar do instrumento convocatório que a exigência de subcontratação não será aplicável quando 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licitante for:</w:t>
      </w:r>
    </w:p>
    <w:p w14:paraId="2CBA8D9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 w:rsidRPr="00402C04">
        <w:rPr>
          <w:rFonts w:ascii="Arial" w:hAnsi="Arial" w:cs="Arial"/>
          <w:sz w:val="20"/>
          <w:szCs w:val="20"/>
        </w:rPr>
        <w:t>microempresa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ou empresa de pequeno porte;</w:t>
      </w:r>
    </w:p>
    <w:p w14:paraId="0BD7D658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</w:t>
      </w:r>
      <w:r w:rsidRPr="00402C04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 xml:space="preserve">– </w:t>
      </w:r>
      <w:r w:rsidRPr="00402C04">
        <w:rPr>
          <w:rFonts w:ascii="Arial" w:hAnsi="Arial" w:cs="Arial"/>
          <w:sz w:val="20"/>
          <w:szCs w:val="20"/>
        </w:rPr>
        <w:t>consórcio composto em sua totalidade por microempresas e empresas de pequeno porte, respeitado 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disposto no art. 33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 xml:space="preserve">nº 8.666, de 1993;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7246AFAE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III </w:t>
      </w:r>
      <w:r w:rsidRPr="00402C04">
        <w:rPr>
          <w:rFonts w:ascii="Arial" w:hAnsi="Arial" w:cs="Arial"/>
          <w:sz w:val="20"/>
          <w:szCs w:val="20"/>
        </w:rPr>
        <w:softHyphen/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402C04">
        <w:rPr>
          <w:rFonts w:ascii="Arial" w:hAnsi="Arial" w:cs="Arial"/>
          <w:sz w:val="20"/>
          <w:szCs w:val="20"/>
        </w:rPr>
        <w:t>consórcio composto parcialmente por microempresas ou empresas de pequeno porte com participação igual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ou superior ao percentual exigido de subcontratação.</w:t>
      </w:r>
    </w:p>
    <w:p w14:paraId="1CCE8B84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B48F95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lastRenderedPageBreak/>
        <w:t>§ 2º Não se admite a exigência de subcontratação para o fornecimento de bens, exceto quando estiver vinculado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à prestação de serviços acessórios.</w:t>
      </w:r>
    </w:p>
    <w:p w14:paraId="5992D2E0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3º O disposto no inciso II do caput deverá ser comprovado no momento da aceitação, na hipótese de 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modalidade de licitação ser pregão, ou no momento da habilitação, nas demais modalidades, sob pena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desclassificação.</w:t>
      </w:r>
    </w:p>
    <w:p w14:paraId="70B0CBC4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4º É vedada a exigência no instrumento convocatório de subcontratação de itens ou parcelas determinadas ou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de empresas específicas.</w:t>
      </w:r>
    </w:p>
    <w:p w14:paraId="498609BA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5º Os empenhos e pagamentos referentes às parcelas subcontratadas serão destinados diretamente às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microempresas e empresas de pequeno porte subcontratadas.</w:t>
      </w:r>
    </w:p>
    <w:p w14:paraId="362FF139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6º São vedadas:</w:t>
      </w:r>
    </w:p>
    <w:p w14:paraId="6845EA93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a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subcontratação das parcelas de maior relevância técnica, assim definidas no</w:t>
      </w:r>
      <w:r>
        <w:rPr>
          <w:rFonts w:ascii="Arial" w:hAnsi="Arial" w:cs="Arial"/>
          <w:sz w:val="20"/>
          <w:szCs w:val="20"/>
        </w:rPr>
        <w:t xml:space="preserve"> instrumento convocatório;</w:t>
      </w:r>
    </w:p>
    <w:p w14:paraId="5D45058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402C04">
        <w:rPr>
          <w:rFonts w:ascii="Arial" w:hAnsi="Arial" w:cs="Arial"/>
          <w:sz w:val="20"/>
          <w:szCs w:val="20"/>
        </w:rPr>
        <w:t>a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subcontratação de microempresas e empresas de pequeno porte que estejam participando da licitação;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3BF317F7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</w:t>
      </w:r>
      <w:r w:rsidRPr="00402C04">
        <w:rPr>
          <w:rFonts w:ascii="Arial" w:hAnsi="Arial" w:cs="Arial"/>
          <w:sz w:val="20"/>
          <w:szCs w:val="20"/>
        </w:rPr>
        <w:t>a subcontratação de microempresas ou empresas de pequeno porte que tenham um ou mais sócios em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comum com a empresa contratante.</w:t>
      </w:r>
    </w:p>
    <w:p w14:paraId="77EB3079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8º</w:t>
      </w:r>
      <w:r w:rsidRPr="00402C04">
        <w:rPr>
          <w:rFonts w:ascii="Arial" w:hAnsi="Arial" w:cs="Arial"/>
          <w:sz w:val="20"/>
          <w:szCs w:val="20"/>
        </w:rPr>
        <w:t xml:space="preserve"> Nas licitações para a aquisição de bens de natureza divisível, e desde que não haja prejuízo para 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conjunto ou o complexo do objeto, os órgãos e as entidades contratantes deverão reservar cota de até </w:t>
      </w:r>
      <w:r>
        <w:rPr>
          <w:rFonts w:ascii="Arial" w:hAnsi="Arial" w:cs="Arial"/>
          <w:sz w:val="20"/>
          <w:szCs w:val="20"/>
        </w:rPr>
        <w:t>25 (</w:t>
      </w:r>
      <w:r w:rsidRPr="00402C04">
        <w:rPr>
          <w:rFonts w:ascii="Arial" w:hAnsi="Arial" w:cs="Arial"/>
          <w:sz w:val="20"/>
          <w:szCs w:val="20"/>
        </w:rPr>
        <w:t>vinte e cinco</w:t>
      </w:r>
      <w:r>
        <w:rPr>
          <w:rFonts w:ascii="Arial" w:hAnsi="Arial" w:cs="Arial"/>
          <w:sz w:val="20"/>
          <w:szCs w:val="20"/>
        </w:rPr>
        <w:t>)</w:t>
      </w:r>
      <w:r w:rsidRPr="00402C04">
        <w:rPr>
          <w:rFonts w:ascii="Arial" w:hAnsi="Arial" w:cs="Arial"/>
          <w:sz w:val="20"/>
          <w:szCs w:val="20"/>
        </w:rPr>
        <w:t xml:space="preserve"> por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cento do objeto para a contratação de microempresas e empresas de pequeno porte.</w:t>
      </w:r>
    </w:p>
    <w:p w14:paraId="14AF98AE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1º O disposto neste artigo não impede a contratação das microempresas ou das empresas de pequeno porte na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totalidade do objeto.</w:t>
      </w:r>
    </w:p>
    <w:p w14:paraId="2F811577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2º O instrumento convocatório deverá prever que, na hipótese de não haver vencedor para a cota reservada,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esta poderá ser adjudicada ao vencedor da cota principal ou, diante de sua recusa, aos licitantes remanescentes, desde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que pratiquem o preço do primeiro colocado da cota principal.</w:t>
      </w:r>
    </w:p>
    <w:p w14:paraId="0621504C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3º Se a mesma empresa vencer a cota reservada e a cota principal, a contratação das cotas deverá ocorrer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pelo menor preço.</w:t>
      </w:r>
    </w:p>
    <w:p w14:paraId="471233D3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4º Nas licitações por Sistema de Registro de Preço ou por entregas parceladas, o instrumento convocatório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deverá prever a prioridade de aquisição dos produtos das cotas reservadas, ressalvados os casos em que a cota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reservada for inadequada para atender as quantidades ou as condições do pedido, justificadamente.</w:t>
      </w:r>
    </w:p>
    <w:p w14:paraId="205AF2AE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C1CCC8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86F1663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lastRenderedPageBreak/>
        <w:t>§ 5º Não se aplica o benefício disposto neste artigo quando os itens ou os lotes de licitação possuírem valor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estimado de</w:t>
      </w:r>
      <w:r>
        <w:rPr>
          <w:rFonts w:ascii="Arial" w:hAnsi="Arial" w:cs="Arial"/>
          <w:sz w:val="20"/>
          <w:szCs w:val="20"/>
        </w:rPr>
        <w:t xml:space="preserve"> até R$ 80.000,00 (oitenta mil R</w:t>
      </w:r>
      <w:r w:rsidRPr="00402C04">
        <w:rPr>
          <w:rFonts w:ascii="Arial" w:hAnsi="Arial" w:cs="Arial"/>
          <w:sz w:val="20"/>
          <w:szCs w:val="20"/>
        </w:rPr>
        <w:t>eais), tendo em vista a aplicação da licitação exclusiva prevista no art. 6º.</w:t>
      </w:r>
    </w:p>
    <w:p w14:paraId="38BABA78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9º</w:t>
      </w:r>
      <w:r w:rsidRPr="00402C04">
        <w:rPr>
          <w:rFonts w:ascii="Arial" w:hAnsi="Arial" w:cs="Arial"/>
          <w:sz w:val="20"/>
          <w:szCs w:val="20"/>
        </w:rPr>
        <w:t xml:space="preserve"> Para aplicação dos benefícios previstos nos </w:t>
      </w:r>
      <w:proofErr w:type="spellStart"/>
      <w:r w:rsidRPr="00402C04">
        <w:rPr>
          <w:rFonts w:ascii="Arial" w:hAnsi="Arial" w:cs="Arial"/>
          <w:sz w:val="20"/>
          <w:szCs w:val="20"/>
        </w:rPr>
        <w:t>arts</w:t>
      </w:r>
      <w:proofErr w:type="spellEnd"/>
      <w:r w:rsidRPr="00402C04">
        <w:rPr>
          <w:rFonts w:ascii="Arial" w:hAnsi="Arial" w:cs="Arial"/>
          <w:sz w:val="20"/>
          <w:szCs w:val="20"/>
        </w:rPr>
        <w:t>. 6º a 8º:</w:t>
      </w:r>
    </w:p>
    <w:p w14:paraId="6E9053A6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</w:t>
      </w:r>
      <w:r w:rsidRPr="00402C04">
        <w:rPr>
          <w:rFonts w:ascii="Arial" w:hAnsi="Arial" w:cs="Arial"/>
          <w:sz w:val="20"/>
          <w:szCs w:val="20"/>
        </w:rPr>
        <w:softHyphen/>
        <w:t xml:space="preserve"> será considerado, para efeitos dos limites de valor estabelecidos, cada item separadamente ou, nas licitações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por preço global, o valor estimado para o grupo ou o lote da licitação que deve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ser considerado como um único item;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31E60124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402C04">
        <w:rPr>
          <w:rFonts w:ascii="Arial" w:hAnsi="Arial" w:cs="Arial"/>
          <w:sz w:val="20"/>
          <w:szCs w:val="20"/>
        </w:rPr>
        <w:t>poderá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ser concedida, justificadamente, prioridade de contratação de microempresas e empresas de pequeno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porte sediadas local ou regionalmente, até o limite de </w:t>
      </w:r>
      <w:r>
        <w:rPr>
          <w:rFonts w:ascii="Arial" w:hAnsi="Arial" w:cs="Arial"/>
          <w:sz w:val="20"/>
          <w:szCs w:val="20"/>
        </w:rPr>
        <w:t>10 (</w:t>
      </w:r>
      <w:r w:rsidRPr="00402C04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)</w:t>
      </w:r>
      <w:r w:rsidRPr="00402C04">
        <w:rPr>
          <w:rFonts w:ascii="Arial" w:hAnsi="Arial" w:cs="Arial"/>
          <w:sz w:val="20"/>
          <w:szCs w:val="20"/>
        </w:rPr>
        <w:t xml:space="preserve"> por cento do melhor preço válido, nos seguintes termos:</w:t>
      </w:r>
    </w:p>
    <w:p w14:paraId="5FC6830A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a) aplica</w:t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softHyphen/>
        <w:t>se o disposto neste inciso nas situações em que as ofertas apresentadas pelas microempresas 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empresas de pequeno porte sediadas local ou regionalmente sejam iguais ou até </w:t>
      </w:r>
      <w:r>
        <w:rPr>
          <w:rFonts w:ascii="Arial" w:hAnsi="Arial" w:cs="Arial"/>
          <w:sz w:val="20"/>
          <w:szCs w:val="20"/>
        </w:rPr>
        <w:t xml:space="preserve">(10) </w:t>
      </w:r>
      <w:r w:rsidRPr="00402C04">
        <w:rPr>
          <w:rFonts w:ascii="Arial" w:hAnsi="Arial" w:cs="Arial"/>
          <w:sz w:val="20"/>
          <w:szCs w:val="20"/>
        </w:rPr>
        <w:t xml:space="preserve">dez </w:t>
      </w:r>
      <w:proofErr w:type="gramStart"/>
      <w:r w:rsidRPr="00402C04">
        <w:rPr>
          <w:rFonts w:ascii="Arial" w:hAnsi="Arial" w:cs="Arial"/>
          <w:sz w:val="20"/>
          <w:szCs w:val="20"/>
        </w:rPr>
        <w:t>por cento superiores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ao menor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preço;</w:t>
      </w:r>
    </w:p>
    <w:p w14:paraId="5D9E02FA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b) a microempresa ou a empresa de pequeno porte sediada local ou regionalmente melhor classificada poderá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apresentar proposta de preço inferior àquela considerada vencedora da licitação, situação em que será adjudicado 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objeto em seu favor;</w:t>
      </w:r>
    </w:p>
    <w:p w14:paraId="11E523B0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c) na hipótese da não contratação da microempresa ou da empresa de pequeno porte sediada local ou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regionalmente com base na alínea “b”, serão </w:t>
      </w:r>
      <w:r>
        <w:rPr>
          <w:rFonts w:ascii="Arial" w:hAnsi="Arial" w:cs="Arial"/>
          <w:sz w:val="20"/>
          <w:szCs w:val="20"/>
        </w:rPr>
        <w:t>convocadas as remanescentes que p</w:t>
      </w:r>
      <w:r w:rsidRPr="00402C04">
        <w:rPr>
          <w:rFonts w:ascii="Arial" w:hAnsi="Arial" w:cs="Arial"/>
          <w:sz w:val="20"/>
          <w:szCs w:val="20"/>
        </w:rPr>
        <w:t>orventura se enquadrem na situação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da alínea “a”, na ordem classificatória, para o exercício do mesmo direito;</w:t>
      </w:r>
    </w:p>
    <w:p w14:paraId="1E96DBE0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d) no caso de equivalência dos valores apresentados pelas microempresas e empresas de pequeno porte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sediadas local ou regionalmente, será realizado sorteio entre elas para que se identifique aquela que primeiro poderá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apresentar melhor oferta;</w:t>
      </w:r>
    </w:p>
    <w:p w14:paraId="1C7DD80D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e) nas licitações a que se refere o art. 8º, a prioridade será aplicada apenas na cota reservada para contratação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exclusiva de microempresas e empresas de pequeno porte;</w:t>
      </w:r>
    </w:p>
    <w:p w14:paraId="22D61CA1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f) nas licitações com exigência de subcontratação, a prioridade de contratação prevista neste inciso somente será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aplicada se o licitante for microempresa ou empresa de pequeno porte sediada local ou regionalmente ou for um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consórcio ou uma sociedade de propósito específico formada exclusivamente por microempresas e empresas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pequeno porte sediadas local ou regionalmente;</w:t>
      </w:r>
    </w:p>
    <w:p w14:paraId="0B14FEE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g) quando houver propostas beneficiadas com as margens de preferência para produto nacional em relação ao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produto estrangeiro previstas no art. 3º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8.666, de 1993, a prioridade de contratação prevista neste artigo será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aplicada exclusivamente entre as propostas que fizerem jus às margens de preferência, de acordo com os Decretos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aplicação </w:t>
      </w:r>
    </w:p>
    <w:p w14:paraId="3F843A37" w14:textId="342599B6" w:rsidR="00A2464E" w:rsidRDefault="00A2464E" w:rsidP="00A246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02C04">
        <w:rPr>
          <w:rFonts w:ascii="Arial" w:hAnsi="Arial" w:cs="Arial"/>
          <w:sz w:val="20"/>
          <w:szCs w:val="20"/>
        </w:rPr>
        <w:lastRenderedPageBreak/>
        <w:t>das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margens de preferência, observado o limite de vinte e cinco por cento estabelecido pela Lei</w:t>
      </w:r>
      <w:r>
        <w:rPr>
          <w:rFonts w:ascii="Arial" w:hAnsi="Arial" w:cs="Arial"/>
          <w:sz w:val="20"/>
          <w:szCs w:val="20"/>
        </w:rPr>
        <w:t xml:space="preserve"> Federal</w:t>
      </w:r>
      <w:r w:rsidRPr="00402C04">
        <w:rPr>
          <w:rFonts w:ascii="Arial" w:hAnsi="Arial" w:cs="Arial"/>
          <w:sz w:val="20"/>
          <w:szCs w:val="20"/>
        </w:rPr>
        <w:t xml:space="preserve"> nº 8.666,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1993;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4EBA1656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h) a aplicação do benefício previsto neste inciso e do percentual da prioridade adotado, limitado a dez por cento,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deverá ser motivada, nos termos dos </w:t>
      </w:r>
      <w:proofErr w:type="spellStart"/>
      <w:r w:rsidRPr="00402C04">
        <w:rPr>
          <w:rFonts w:ascii="Arial" w:hAnsi="Arial" w:cs="Arial"/>
          <w:sz w:val="20"/>
          <w:szCs w:val="20"/>
        </w:rPr>
        <w:t>arts</w:t>
      </w:r>
      <w:proofErr w:type="spellEnd"/>
      <w:r w:rsidRPr="00402C04">
        <w:rPr>
          <w:rFonts w:ascii="Arial" w:hAnsi="Arial" w:cs="Arial"/>
          <w:sz w:val="20"/>
          <w:szCs w:val="20"/>
        </w:rPr>
        <w:t>. 47 e 48, § 3º, da Lei Complementar nº 123, de 2006.</w:t>
      </w:r>
    </w:p>
    <w:p w14:paraId="53F7D096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10</w:t>
      </w:r>
      <w:r w:rsidRPr="00402C04">
        <w:rPr>
          <w:rFonts w:ascii="Arial" w:hAnsi="Arial" w:cs="Arial"/>
          <w:sz w:val="20"/>
          <w:szCs w:val="20"/>
        </w:rPr>
        <w:t>. Não se aplica o disposto nos art. 6º ao art. 8º quando:</w:t>
      </w:r>
    </w:p>
    <w:p w14:paraId="6509E12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não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houver o mínimo de três fornecedores competitivos enquadrados como microempresas ou empresas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pequeno porte sediadas local ou regionalmente e capazes de cumprir as exigências estabelecidas no instrumento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convocatório;</w:t>
      </w:r>
    </w:p>
    <w:p w14:paraId="4710A7FB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</w:t>
      </w:r>
      <w:r w:rsidRPr="00402C04">
        <w:rPr>
          <w:rFonts w:ascii="Arial" w:hAnsi="Arial" w:cs="Arial"/>
          <w:sz w:val="20"/>
          <w:szCs w:val="20"/>
        </w:rPr>
        <w:softHyphen/>
        <w:t xml:space="preserve"> o tratamento diferenciado e simplificado para as microempresas e as empresas de pequeno porte não for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vantajoso para a administração pública ou representar prejuízo ao conjunto ou ao complexo do objeto a ser contratado,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justificadamente;</w:t>
      </w:r>
    </w:p>
    <w:p w14:paraId="65093534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02C04">
        <w:rPr>
          <w:rFonts w:ascii="Arial" w:hAnsi="Arial" w:cs="Arial"/>
          <w:sz w:val="20"/>
          <w:szCs w:val="20"/>
        </w:rPr>
        <w:t xml:space="preserve">III </w:t>
      </w:r>
      <w:r w:rsidRPr="00402C04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–</w:t>
      </w:r>
      <w:r w:rsidRPr="00402C04">
        <w:rPr>
          <w:rFonts w:ascii="Arial" w:hAnsi="Arial" w:cs="Arial"/>
          <w:sz w:val="20"/>
          <w:szCs w:val="20"/>
        </w:rPr>
        <w:t xml:space="preserve"> a licitação for dispensável ou inexigível, nos termos dos </w:t>
      </w:r>
      <w:proofErr w:type="spellStart"/>
      <w:r w:rsidRPr="00402C04">
        <w:rPr>
          <w:rFonts w:ascii="Arial" w:hAnsi="Arial" w:cs="Arial"/>
          <w:sz w:val="20"/>
          <w:szCs w:val="20"/>
        </w:rPr>
        <w:t>arts</w:t>
      </w:r>
      <w:proofErr w:type="spellEnd"/>
      <w:r w:rsidRPr="00402C04">
        <w:rPr>
          <w:rFonts w:ascii="Arial" w:hAnsi="Arial" w:cs="Arial"/>
          <w:sz w:val="20"/>
          <w:szCs w:val="20"/>
        </w:rPr>
        <w:t xml:space="preserve">. 24 e 25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8.666, de 1993, excetuadas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as dispensas tratadas pelos incisos I e II do caput do referido art. 24, nas quais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 compra deverá ser feita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preferencialmente por microempresas e empresas de pequeno porte, observados, no que couber, os incisos I, II e IV do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caput deste artigo; </w:t>
      </w:r>
      <w:proofErr w:type="gramStart"/>
      <w:r w:rsidRPr="00402C04">
        <w:rPr>
          <w:rFonts w:ascii="Arial" w:hAnsi="Arial" w:cs="Arial"/>
          <w:sz w:val="20"/>
          <w:szCs w:val="20"/>
        </w:rPr>
        <w:t>ou</w:t>
      </w:r>
      <w:proofErr w:type="gramEnd"/>
    </w:p>
    <w:p w14:paraId="2D4AF0B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IV </w:t>
      </w:r>
      <w:r w:rsidRPr="00402C04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–</w:t>
      </w:r>
      <w:r w:rsidRPr="00402C04">
        <w:rPr>
          <w:rFonts w:ascii="Arial" w:hAnsi="Arial" w:cs="Arial"/>
          <w:sz w:val="20"/>
          <w:szCs w:val="20"/>
        </w:rPr>
        <w:t xml:space="preserve"> o tratamento diferenciado e simplificado não for capaz de alcançar, justificadamente, pelo menos um dos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objetivos previstos no art. 1º.</w:t>
      </w:r>
    </w:p>
    <w:p w14:paraId="2F029599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Parágrafo único</w:t>
      </w:r>
      <w:r w:rsidRPr="00402C04">
        <w:rPr>
          <w:rFonts w:ascii="Arial" w:hAnsi="Arial" w:cs="Arial"/>
          <w:sz w:val="20"/>
          <w:szCs w:val="20"/>
        </w:rPr>
        <w:t>. Para o disposto no inciso II do caput, considera</w:t>
      </w:r>
      <w:r w:rsidRPr="00402C04"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-</w:t>
      </w:r>
      <w:r w:rsidRPr="00402C04">
        <w:rPr>
          <w:rFonts w:ascii="Arial" w:hAnsi="Arial" w:cs="Arial"/>
          <w:sz w:val="20"/>
          <w:szCs w:val="20"/>
        </w:rPr>
        <w:t>se não vant</w:t>
      </w:r>
      <w:r>
        <w:rPr>
          <w:rFonts w:ascii="Arial" w:hAnsi="Arial" w:cs="Arial"/>
          <w:sz w:val="20"/>
          <w:szCs w:val="20"/>
        </w:rPr>
        <w:t>ajosa a contratação quando:</w:t>
      </w:r>
    </w:p>
    <w:p w14:paraId="1131C9A1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resultar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em preço superior ao valor estab</w:t>
      </w:r>
      <w:r>
        <w:rPr>
          <w:rFonts w:ascii="Arial" w:hAnsi="Arial" w:cs="Arial"/>
          <w:sz w:val="20"/>
          <w:szCs w:val="20"/>
        </w:rPr>
        <w:t xml:space="preserve">elecido como referência; </w:t>
      </w: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</w:p>
    <w:p w14:paraId="3E10DE0F" w14:textId="77777777" w:rsidR="00A2464E" w:rsidRDefault="00A2464E" w:rsidP="00A2464E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Pr="00402C04">
        <w:rPr>
          <w:rFonts w:ascii="Arial" w:hAnsi="Arial" w:cs="Arial"/>
          <w:sz w:val="20"/>
          <w:szCs w:val="20"/>
        </w:rPr>
        <w:t>a natureza do bem, serviço ou obra for incompatível com a aplicação dos benefícios.</w:t>
      </w:r>
      <w:r w:rsidRPr="00402C04">
        <w:rPr>
          <w:rFonts w:ascii="Arial" w:hAnsi="Arial" w:cs="Arial"/>
          <w:sz w:val="20"/>
          <w:szCs w:val="20"/>
        </w:rPr>
        <w:br/>
        <w:t>Art. 11. Os critérios de tratamento diferenciado e simplificado para as microempresas e empresas de pequeno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porte deverão estar expressamente previstos no instrumento convocatório.</w:t>
      </w:r>
    </w:p>
    <w:p w14:paraId="2823C49C" w14:textId="6C7A0255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1</w:t>
      </w:r>
      <w:r w:rsidR="00645E61" w:rsidRPr="00645E61">
        <w:rPr>
          <w:rFonts w:ascii="Arial" w:hAnsi="Arial" w:cs="Arial"/>
          <w:b/>
          <w:sz w:val="20"/>
          <w:szCs w:val="20"/>
        </w:rPr>
        <w:t>1</w:t>
      </w:r>
      <w:r w:rsidRPr="00402C04">
        <w:rPr>
          <w:rFonts w:ascii="Arial" w:hAnsi="Arial" w:cs="Arial"/>
          <w:sz w:val="20"/>
          <w:szCs w:val="20"/>
        </w:rPr>
        <w:t>. Para fins do disposto neste Dec</w:t>
      </w:r>
      <w:r>
        <w:rPr>
          <w:rFonts w:ascii="Arial" w:hAnsi="Arial" w:cs="Arial"/>
          <w:sz w:val="20"/>
          <w:szCs w:val="20"/>
        </w:rPr>
        <w:t>reto, o enquadramento como:</w:t>
      </w:r>
    </w:p>
    <w:p w14:paraId="7F3A625E" w14:textId="77777777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402C04">
        <w:rPr>
          <w:rFonts w:ascii="Arial" w:hAnsi="Arial" w:cs="Arial"/>
          <w:sz w:val="20"/>
          <w:szCs w:val="20"/>
        </w:rPr>
        <w:t>microempresa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ou empresa de pequeno porte se dará nos termos do art. 3º, caput, incisos I e II, e § 4º da Lei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Complementar nº 123, de 2006;</w:t>
      </w:r>
    </w:p>
    <w:p w14:paraId="187A0672" w14:textId="374DAAFA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Pr="00402C04">
        <w:rPr>
          <w:rFonts w:ascii="Arial" w:hAnsi="Arial" w:cs="Arial"/>
          <w:sz w:val="20"/>
          <w:szCs w:val="20"/>
        </w:rPr>
        <w:t>agricultor familiar se dará nos termos da Lei</w:t>
      </w:r>
      <w:r>
        <w:rPr>
          <w:rFonts w:ascii="Arial" w:hAnsi="Arial" w:cs="Arial"/>
          <w:sz w:val="20"/>
          <w:szCs w:val="20"/>
        </w:rPr>
        <w:t xml:space="preserve"> Federal</w:t>
      </w:r>
      <w:r w:rsidRPr="00402C04">
        <w:rPr>
          <w:rFonts w:ascii="Arial" w:hAnsi="Arial" w:cs="Arial"/>
          <w:sz w:val="20"/>
          <w:szCs w:val="20"/>
        </w:rPr>
        <w:t xml:space="preserve"> nº 11.326, de 24 de julho de 2006;</w:t>
      </w:r>
      <w:r>
        <w:rPr>
          <w:rFonts w:ascii="Arial" w:hAnsi="Arial" w:cs="Arial"/>
          <w:sz w:val="20"/>
          <w:szCs w:val="20"/>
        </w:rPr>
        <w:br/>
      </w:r>
      <w:r w:rsidR="004D6D91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III – </w:t>
      </w:r>
      <w:r w:rsidRPr="00402C04">
        <w:rPr>
          <w:rFonts w:ascii="Arial" w:hAnsi="Arial" w:cs="Arial"/>
          <w:sz w:val="20"/>
          <w:szCs w:val="20"/>
        </w:rPr>
        <w:t xml:space="preserve">produtor rural pessoa física se dará nos termos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8.212, de 24 de julho de 1991</w:t>
      </w:r>
      <w:r>
        <w:rPr>
          <w:rFonts w:ascii="Arial" w:hAnsi="Arial" w:cs="Arial"/>
          <w:sz w:val="20"/>
          <w:szCs w:val="20"/>
        </w:rPr>
        <w:t>;</w:t>
      </w:r>
    </w:p>
    <w:p w14:paraId="1C55FB63" w14:textId="77777777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proofErr w:type="gramStart"/>
      <w:r w:rsidRPr="00402C04">
        <w:rPr>
          <w:rFonts w:ascii="Arial" w:hAnsi="Arial" w:cs="Arial"/>
          <w:sz w:val="20"/>
          <w:szCs w:val="20"/>
        </w:rPr>
        <w:t>microempreendedor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individual se dará nos termos do § 1º do art. 18</w:t>
      </w:r>
      <w:r w:rsidRPr="00402C04">
        <w:rPr>
          <w:rFonts w:ascii="Arial" w:hAnsi="Arial" w:cs="Arial"/>
          <w:sz w:val="20"/>
          <w:szCs w:val="20"/>
        </w:rPr>
        <w:softHyphen/>
        <w:t>A da Lei Complementar nº 123, de 2006;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02C04">
        <w:rPr>
          <w:rFonts w:ascii="Arial" w:hAnsi="Arial" w:cs="Arial"/>
          <w:sz w:val="20"/>
          <w:szCs w:val="20"/>
        </w:rPr>
        <w:t>e</w:t>
      </w:r>
      <w:proofErr w:type="gramEnd"/>
    </w:p>
    <w:p w14:paraId="2999D2BE" w14:textId="77777777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lastRenderedPageBreak/>
        <w:t xml:space="preserve">V </w:t>
      </w: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402C04">
        <w:rPr>
          <w:rFonts w:ascii="Arial" w:hAnsi="Arial" w:cs="Arial"/>
          <w:sz w:val="20"/>
          <w:szCs w:val="20"/>
        </w:rPr>
        <w:t>sociedade</w:t>
      </w:r>
      <w:proofErr w:type="gramEnd"/>
      <w:r w:rsidRPr="00402C04">
        <w:rPr>
          <w:rFonts w:ascii="Arial" w:hAnsi="Arial" w:cs="Arial"/>
          <w:sz w:val="20"/>
          <w:szCs w:val="20"/>
        </w:rPr>
        <w:t xml:space="preserve"> cooperativa se dará nos termos do art. 34 da 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11.488, de 15 de junho de 2007, e do art. 4º da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 xml:space="preserve">Federal </w:t>
      </w:r>
      <w:r w:rsidRPr="00402C04">
        <w:rPr>
          <w:rFonts w:ascii="Arial" w:hAnsi="Arial" w:cs="Arial"/>
          <w:sz w:val="20"/>
          <w:szCs w:val="20"/>
        </w:rPr>
        <w:t>nº 5.764, de 16 de dezembro de 1971.</w:t>
      </w:r>
    </w:p>
    <w:p w14:paraId="0D368B55" w14:textId="77777777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 xml:space="preserve">§ 1º O licitante é responsável por solicitar seu </w:t>
      </w:r>
      <w:proofErr w:type="spellStart"/>
      <w:r w:rsidRPr="00402C04">
        <w:rPr>
          <w:rFonts w:ascii="Arial" w:hAnsi="Arial" w:cs="Arial"/>
          <w:sz w:val="20"/>
          <w:szCs w:val="20"/>
        </w:rPr>
        <w:t>desenquadramento</w:t>
      </w:r>
      <w:proofErr w:type="spellEnd"/>
      <w:r w:rsidRPr="00402C04">
        <w:rPr>
          <w:rFonts w:ascii="Arial" w:hAnsi="Arial" w:cs="Arial"/>
          <w:sz w:val="20"/>
          <w:szCs w:val="20"/>
        </w:rPr>
        <w:t xml:space="preserve"> da condição de microempresa ou empresa de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pequeno porte quando houver ultrapassado o limite de faturamento estabelecido no art. 3º da Lei Complementar nº 123,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de 2006, no ano fiscal anterior, sob pena de ser declarado inidôneo para licitar e contratar com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a administração pública,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sem prejuízo das demais sanções, caso usufrua ou tente usufruir indevidamente dos benefícios previstos neste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Decreto.</w:t>
      </w:r>
    </w:p>
    <w:p w14:paraId="008BFA39" w14:textId="77777777" w:rsidR="00A2464E" w:rsidRPr="00024C73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 w:rsidRPr="00402C04">
        <w:rPr>
          <w:rFonts w:ascii="Arial" w:hAnsi="Arial" w:cs="Arial"/>
          <w:sz w:val="20"/>
          <w:szCs w:val="20"/>
        </w:rPr>
        <w:t>§ 2º Deverá ser exigida do licitante a ser beneficiado a declaração, sob as penas da lei, de que cumpre os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>requisitos legais para a qualificação como microempresa ou empresa de pequeno porte, microempreendedor individual,</w:t>
      </w:r>
      <w:r>
        <w:rPr>
          <w:rFonts w:ascii="Arial" w:hAnsi="Arial" w:cs="Arial"/>
          <w:sz w:val="20"/>
          <w:szCs w:val="20"/>
        </w:rPr>
        <w:t xml:space="preserve"> </w:t>
      </w:r>
      <w:r w:rsidRPr="00402C04">
        <w:rPr>
          <w:rFonts w:ascii="Arial" w:hAnsi="Arial" w:cs="Arial"/>
          <w:sz w:val="20"/>
          <w:szCs w:val="20"/>
        </w:rPr>
        <w:t xml:space="preserve">produtor rural pessoa física, agricultor familiar ou sociedade cooperativa de </w:t>
      </w:r>
      <w:r w:rsidRPr="00024C73">
        <w:rPr>
          <w:rFonts w:ascii="Arial" w:hAnsi="Arial" w:cs="Arial"/>
          <w:sz w:val="20"/>
          <w:szCs w:val="20"/>
        </w:rPr>
        <w:t>consumo, estando apto a usufruir do tratamento favorecido estabelecido nos art. 42 ao art. 49 da Lei Complementar nº 123, de 2006.</w:t>
      </w:r>
    </w:p>
    <w:p w14:paraId="6530A478" w14:textId="00338F9C" w:rsidR="00A2464E" w:rsidRDefault="00A2464E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  <w:r w:rsidRPr="00645E61">
        <w:rPr>
          <w:rFonts w:ascii="Arial" w:hAnsi="Arial" w:cs="Arial"/>
          <w:b/>
          <w:sz w:val="20"/>
          <w:szCs w:val="20"/>
        </w:rPr>
        <w:t>Art. 1</w:t>
      </w:r>
      <w:r w:rsidR="00645E61" w:rsidRPr="00645E61">
        <w:rPr>
          <w:rFonts w:ascii="Arial" w:hAnsi="Arial" w:cs="Arial"/>
          <w:b/>
          <w:sz w:val="20"/>
          <w:szCs w:val="20"/>
        </w:rPr>
        <w:t>2</w:t>
      </w:r>
      <w:r w:rsidRPr="00024C73">
        <w:rPr>
          <w:rFonts w:ascii="Arial" w:hAnsi="Arial" w:cs="Arial"/>
          <w:sz w:val="20"/>
          <w:szCs w:val="20"/>
        </w:rPr>
        <w:t>. Este Decreto entra em vigor na data de</w:t>
      </w:r>
      <w:r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14:paraId="59703B3D" w14:textId="5CFE031E" w:rsidR="004D6D91" w:rsidRPr="004D6D91" w:rsidRDefault="004D6D91" w:rsidP="004D6D91">
      <w:pPr>
        <w:jc w:val="both"/>
        <w:rPr>
          <w:rFonts w:ascii="Arial" w:hAnsi="Arial" w:cs="Arial"/>
          <w:sz w:val="20"/>
          <w:szCs w:val="20"/>
        </w:rPr>
      </w:pPr>
      <w:r w:rsidRPr="004D6D91">
        <w:rPr>
          <w:rFonts w:ascii="Arial" w:hAnsi="Arial" w:cs="Arial"/>
          <w:sz w:val="20"/>
          <w:szCs w:val="20"/>
        </w:rPr>
        <w:t>Gabinete da Prefeita Municipal de Muitos Capões, 1</w:t>
      </w:r>
      <w:r w:rsidRPr="004D6D91">
        <w:rPr>
          <w:rFonts w:ascii="Arial" w:hAnsi="Arial" w:cs="Arial"/>
          <w:sz w:val="20"/>
          <w:szCs w:val="20"/>
        </w:rPr>
        <w:t>7</w:t>
      </w:r>
      <w:r w:rsidRPr="004D6D91">
        <w:rPr>
          <w:rFonts w:ascii="Arial" w:hAnsi="Arial" w:cs="Arial"/>
          <w:sz w:val="20"/>
          <w:szCs w:val="20"/>
        </w:rPr>
        <w:t xml:space="preserve"> de </w:t>
      </w:r>
      <w:r w:rsidRPr="004D6D91">
        <w:rPr>
          <w:rFonts w:ascii="Arial" w:hAnsi="Arial" w:cs="Arial"/>
          <w:sz w:val="20"/>
          <w:szCs w:val="20"/>
        </w:rPr>
        <w:t>dezembro</w:t>
      </w:r>
      <w:r w:rsidRPr="004D6D91">
        <w:rPr>
          <w:rFonts w:ascii="Arial" w:hAnsi="Arial" w:cs="Arial"/>
          <w:sz w:val="20"/>
          <w:szCs w:val="20"/>
        </w:rPr>
        <w:t xml:space="preserve"> de 2020.</w:t>
      </w:r>
    </w:p>
    <w:p w14:paraId="419D7611" w14:textId="77777777" w:rsidR="004D6D91" w:rsidRPr="004D6D91" w:rsidRDefault="004D6D91" w:rsidP="004D6D91">
      <w:pPr>
        <w:jc w:val="both"/>
        <w:rPr>
          <w:rFonts w:ascii="Arial" w:hAnsi="Arial" w:cs="Arial"/>
          <w:sz w:val="20"/>
          <w:szCs w:val="20"/>
        </w:rPr>
      </w:pPr>
    </w:p>
    <w:p w14:paraId="50C73B06" w14:textId="77777777" w:rsidR="004D6D91" w:rsidRPr="004D6D91" w:rsidRDefault="004D6D91" w:rsidP="004D6D91">
      <w:pPr>
        <w:jc w:val="both"/>
        <w:rPr>
          <w:rFonts w:ascii="Arial" w:hAnsi="Arial" w:cs="Arial"/>
          <w:sz w:val="20"/>
          <w:szCs w:val="20"/>
        </w:rPr>
      </w:pPr>
    </w:p>
    <w:p w14:paraId="06302EA6" w14:textId="77777777" w:rsidR="004D6D91" w:rsidRPr="004D6D91" w:rsidRDefault="004D6D91" w:rsidP="004D6D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6D91">
        <w:rPr>
          <w:rFonts w:ascii="Arial" w:hAnsi="Arial" w:cs="Arial"/>
          <w:sz w:val="20"/>
          <w:szCs w:val="20"/>
        </w:rPr>
        <w:tab/>
      </w:r>
      <w:r w:rsidRPr="004D6D91">
        <w:rPr>
          <w:rFonts w:ascii="Arial" w:hAnsi="Arial" w:cs="Arial"/>
          <w:sz w:val="20"/>
          <w:szCs w:val="20"/>
        </w:rPr>
        <w:tab/>
      </w:r>
      <w:r w:rsidRPr="004D6D91">
        <w:rPr>
          <w:rFonts w:ascii="Arial" w:hAnsi="Arial" w:cs="Arial"/>
          <w:sz w:val="20"/>
          <w:szCs w:val="20"/>
        </w:rPr>
        <w:tab/>
      </w:r>
      <w:r w:rsidRPr="004D6D91">
        <w:rPr>
          <w:rFonts w:ascii="Arial" w:hAnsi="Arial" w:cs="Arial"/>
          <w:sz w:val="20"/>
          <w:szCs w:val="20"/>
        </w:rPr>
        <w:tab/>
      </w:r>
      <w:r w:rsidRPr="004D6D91">
        <w:rPr>
          <w:rFonts w:ascii="Arial" w:hAnsi="Arial" w:cs="Arial"/>
          <w:sz w:val="20"/>
          <w:szCs w:val="20"/>
        </w:rPr>
        <w:tab/>
      </w:r>
      <w:r w:rsidRPr="004D6D91">
        <w:rPr>
          <w:rFonts w:ascii="Arial" w:hAnsi="Arial" w:cs="Arial"/>
          <w:b/>
          <w:sz w:val="20"/>
          <w:szCs w:val="20"/>
        </w:rPr>
        <w:t>ELENISE ALVES CABRAL PEREIRA</w:t>
      </w:r>
    </w:p>
    <w:p w14:paraId="017A4524" w14:textId="77777777" w:rsidR="004D6D91" w:rsidRPr="004D6D91" w:rsidRDefault="004D6D91" w:rsidP="004D6D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D91">
        <w:rPr>
          <w:rFonts w:ascii="Arial" w:hAnsi="Arial" w:cs="Arial"/>
          <w:b/>
          <w:sz w:val="20"/>
          <w:szCs w:val="20"/>
        </w:rPr>
        <w:tab/>
      </w:r>
      <w:r w:rsidRPr="004D6D91">
        <w:rPr>
          <w:rFonts w:ascii="Arial" w:hAnsi="Arial" w:cs="Arial"/>
          <w:b/>
          <w:sz w:val="20"/>
          <w:szCs w:val="20"/>
        </w:rPr>
        <w:tab/>
      </w:r>
      <w:r w:rsidRPr="004D6D91">
        <w:rPr>
          <w:rFonts w:ascii="Arial" w:hAnsi="Arial" w:cs="Arial"/>
          <w:b/>
          <w:sz w:val="20"/>
          <w:szCs w:val="20"/>
        </w:rPr>
        <w:tab/>
      </w:r>
      <w:r w:rsidRPr="004D6D91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4D6D91">
        <w:rPr>
          <w:rFonts w:ascii="Arial" w:hAnsi="Arial" w:cs="Arial"/>
          <w:sz w:val="20"/>
          <w:szCs w:val="20"/>
        </w:rPr>
        <w:t>Prefeita Municipal, em exercício.</w:t>
      </w:r>
    </w:p>
    <w:p w14:paraId="4485BB53" w14:textId="77777777" w:rsidR="004D6D91" w:rsidRPr="004D6D91" w:rsidRDefault="004D6D91" w:rsidP="00A2464E">
      <w:pPr>
        <w:pStyle w:val="NormalWeb"/>
        <w:spacing w:before="120" w:beforeAutospacing="0" w:after="120" w:line="360" w:lineRule="auto"/>
        <w:ind w:firstLine="709"/>
        <w:rPr>
          <w:rFonts w:ascii="Arial" w:hAnsi="Arial" w:cs="Arial"/>
          <w:sz w:val="20"/>
          <w:szCs w:val="20"/>
        </w:rPr>
      </w:pPr>
    </w:p>
    <w:sectPr w:rsidR="004D6D91" w:rsidRPr="004D6D91" w:rsidSect="00EF57D5">
      <w:headerReference w:type="default" r:id="rId8"/>
      <w:footerReference w:type="default" r:id="rId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EC55" w14:textId="77777777" w:rsidR="00EA3D0A" w:rsidRDefault="00EA3D0A" w:rsidP="00EF57D5">
      <w:pPr>
        <w:spacing w:after="0" w:line="240" w:lineRule="auto"/>
      </w:pPr>
      <w:r>
        <w:separator/>
      </w:r>
    </w:p>
  </w:endnote>
  <w:endnote w:type="continuationSeparator" w:id="0">
    <w:p w14:paraId="591D4987" w14:textId="77777777" w:rsidR="00EA3D0A" w:rsidRDefault="00EA3D0A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E045" w14:textId="77777777" w:rsidR="00EA3D0A" w:rsidRDefault="00EA3D0A" w:rsidP="00EF57D5">
      <w:pPr>
        <w:spacing w:after="0" w:line="240" w:lineRule="auto"/>
      </w:pPr>
      <w:r>
        <w:separator/>
      </w:r>
    </w:p>
  </w:footnote>
  <w:footnote w:type="continuationSeparator" w:id="0">
    <w:p w14:paraId="4773AAFB" w14:textId="77777777" w:rsidR="00EA3D0A" w:rsidRDefault="00EA3D0A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CB5"/>
    <w:multiLevelType w:val="hybridMultilevel"/>
    <w:tmpl w:val="EDBE2A16"/>
    <w:lvl w:ilvl="0" w:tplc="FECED0DA">
      <w:start w:val="1"/>
      <w:numFmt w:val="upperRoman"/>
      <w:lvlText w:val="%1"/>
      <w:lvlJc w:val="left"/>
      <w:pPr>
        <w:ind w:left="837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61A4D50">
      <w:numFmt w:val="bullet"/>
      <w:lvlText w:val="•"/>
      <w:lvlJc w:val="left"/>
      <w:pPr>
        <w:ind w:left="1726" w:hanging="264"/>
      </w:pPr>
      <w:rPr>
        <w:rFonts w:hint="default"/>
        <w:lang w:val="pt-PT" w:eastAsia="pt-PT" w:bidi="pt-PT"/>
      </w:rPr>
    </w:lvl>
    <w:lvl w:ilvl="2" w:tplc="71EA9808">
      <w:numFmt w:val="bullet"/>
      <w:lvlText w:val="•"/>
      <w:lvlJc w:val="left"/>
      <w:pPr>
        <w:ind w:left="2612" w:hanging="264"/>
      </w:pPr>
      <w:rPr>
        <w:rFonts w:hint="default"/>
        <w:lang w:val="pt-PT" w:eastAsia="pt-PT" w:bidi="pt-PT"/>
      </w:rPr>
    </w:lvl>
    <w:lvl w:ilvl="3" w:tplc="D2C45760">
      <w:numFmt w:val="bullet"/>
      <w:lvlText w:val="•"/>
      <w:lvlJc w:val="left"/>
      <w:pPr>
        <w:ind w:left="3498" w:hanging="264"/>
      </w:pPr>
      <w:rPr>
        <w:rFonts w:hint="default"/>
        <w:lang w:val="pt-PT" w:eastAsia="pt-PT" w:bidi="pt-PT"/>
      </w:rPr>
    </w:lvl>
    <w:lvl w:ilvl="4" w:tplc="845888B4">
      <w:numFmt w:val="bullet"/>
      <w:lvlText w:val="•"/>
      <w:lvlJc w:val="left"/>
      <w:pPr>
        <w:ind w:left="4384" w:hanging="264"/>
      </w:pPr>
      <w:rPr>
        <w:rFonts w:hint="default"/>
        <w:lang w:val="pt-PT" w:eastAsia="pt-PT" w:bidi="pt-PT"/>
      </w:rPr>
    </w:lvl>
    <w:lvl w:ilvl="5" w:tplc="E4321212">
      <w:numFmt w:val="bullet"/>
      <w:lvlText w:val="•"/>
      <w:lvlJc w:val="left"/>
      <w:pPr>
        <w:ind w:left="5270" w:hanging="264"/>
      </w:pPr>
      <w:rPr>
        <w:rFonts w:hint="default"/>
        <w:lang w:val="pt-PT" w:eastAsia="pt-PT" w:bidi="pt-PT"/>
      </w:rPr>
    </w:lvl>
    <w:lvl w:ilvl="6" w:tplc="81480994">
      <w:numFmt w:val="bullet"/>
      <w:lvlText w:val="•"/>
      <w:lvlJc w:val="left"/>
      <w:pPr>
        <w:ind w:left="6156" w:hanging="264"/>
      </w:pPr>
      <w:rPr>
        <w:rFonts w:hint="default"/>
        <w:lang w:val="pt-PT" w:eastAsia="pt-PT" w:bidi="pt-PT"/>
      </w:rPr>
    </w:lvl>
    <w:lvl w:ilvl="7" w:tplc="B094C664">
      <w:numFmt w:val="bullet"/>
      <w:lvlText w:val="•"/>
      <w:lvlJc w:val="left"/>
      <w:pPr>
        <w:ind w:left="7042" w:hanging="264"/>
      </w:pPr>
      <w:rPr>
        <w:rFonts w:hint="default"/>
        <w:lang w:val="pt-PT" w:eastAsia="pt-PT" w:bidi="pt-PT"/>
      </w:rPr>
    </w:lvl>
    <w:lvl w:ilvl="8" w:tplc="7EBA0220">
      <w:numFmt w:val="bullet"/>
      <w:lvlText w:val="•"/>
      <w:lvlJc w:val="left"/>
      <w:pPr>
        <w:ind w:left="7928" w:hanging="264"/>
      </w:pPr>
      <w:rPr>
        <w:rFonts w:hint="default"/>
        <w:lang w:val="pt-PT" w:eastAsia="pt-PT" w:bidi="pt-PT"/>
      </w:rPr>
    </w:lvl>
  </w:abstractNum>
  <w:abstractNum w:abstractNumId="1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C40B5E"/>
    <w:multiLevelType w:val="hybridMultilevel"/>
    <w:tmpl w:val="6E02D09A"/>
    <w:lvl w:ilvl="0" w:tplc="23446D14">
      <w:start w:val="1"/>
      <w:numFmt w:val="upperRoman"/>
      <w:lvlText w:val="%1"/>
      <w:lvlJc w:val="left"/>
      <w:pPr>
        <w:ind w:left="26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F8AA3056">
      <w:numFmt w:val="bullet"/>
      <w:lvlText w:val="•"/>
      <w:lvlJc w:val="left"/>
      <w:pPr>
        <w:ind w:left="1204" w:hanging="360"/>
      </w:pPr>
      <w:rPr>
        <w:rFonts w:hint="default"/>
        <w:lang w:val="pt-PT" w:eastAsia="pt-PT" w:bidi="pt-PT"/>
      </w:rPr>
    </w:lvl>
    <w:lvl w:ilvl="2" w:tplc="9A866C14">
      <w:numFmt w:val="bullet"/>
      <w:lvlText w:val="•"/>
      <w:lvlJc w:val="left"/>
      <w:pPr>
        <w:ind w:left="2148" w:hanging="360"/>
      </w:pPr>
      <w:rPr>
        <w:rFonts w:hint="default"/>
        <w:lang w:val="pt-PT" w:eastAsia="pt-PT" w:bidi="pt-PT"/>
      </w:rPr>
    </w:lvl>
    <w:lvl w:ilvl="3" w:tplc="C49C2608">
      <w:numFmt w:val="bullet"/>
      <w:lvlText w:val="•"/>
      <w:lvlJc w:val="left"/>
      <w:pPr>
        <w:ind w:left="3092" w:hanging="360"/>
      </w:pPr>
      <w:rPr>
        <w:rFonts w:hint="default"/>
        <w:lang w:val="pt-PT" w:eastAsia="pt-PT" w:bidi="pt-PT"/>
      </w:rPr>
    </w:lvl>
    <w:lvl w:ilvl="4" w:tplc="76AAEA42">
      <w:numFmt w:val="bullet"/>
      <w:lvlText w:val="•"/>
      <w:lvlJc w:val="left"/>
      <w:pPr>
        <w:ind w:left="4036" w:hanging="360"/>
      </w:pPr>
      <w:rPr>
        <w:rFonts w:hint="default"/>
        <w:lang w:val="pt-PT" w:eastAsia="pt-PT" w:bidi="pt-PT"/>
      </w:rPr>
    </w:lvl>
    <w:lvl w:ilvl="5" w:tplc="98B047DE">
      <w:numFmt w:val="bullet"/>
      <w:lvlText w:val="•"/>
      <w:lvlJc w:val="left"/>
      <w:pPr>
        <w:ind w:left="4980" w:hanging="360"/>
      </w:pPr>
      <w:rPr>
        <w:rFonts w:hint="default"/>
        <w:lang w:val="pt-PT" w:eastAsia="pt-PT" w:bidi="pt-PT"/>
      </w:rPr>
    </w:lvl>
    <w:lvl w:ilvl="6" w:tplc="6BE4A640">
      <w:numFmt w:val="bullet"/>
      <w:lvlText w:val="•"/>
      <w:lvlJc w:val="left"/>
      <w:pPr>
        <w:ind w:left="5924" w:hanging="360"/>
      </w:pPr>
      <w:rPr>
        <w:rFonts w:hint="default"/>
        <w:lang w:val="pt-PT" w:eastAsia="pt-PT" w:bidi="pt-PT"/>
      </w:rPr>
    </w:lvl>
    <w:lvl w:ilvl="7" w:tplc="84FA0A7C">
      <w:numFmt w:val="bullet"/>
      <w:lvlText w:val="•"/>
      <w:lvlJc w:val="left"/>
      <w:pPr>
        <w:ind w:left="6868" w:hanging="360"/>
      </w:pPr>
      <w:rPr>
        <w:rFonts w:hint="default"/>
        <w:lang w:val="pt-PT" w:eastAsia="pt-PT" w:bidi="pt-PT"/>
      </w:rPr>
    </w:lvl>
    <w:lvl w:ilvl="8" w:tplc="B2AE71E2">
      <w:numFmt w:val="bullet"/>
      <w:lvlText w:val="•"/>
      <w:lvlJc w:val="left"/>
      <w:pPr>
        <w:ind w:left="781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7" w15:restartNumberingAfterBreak="0">
    <w:nsid w:val="1F6F2856"/>
    <w:multiLevelType w:val="hybridMultilevel"/>
    <w:tmpl w:val="44E2FB28"/>
    <w:lvl w:ilvl="0" w:tplc="35A8F282">
      <w:start w:val="1"/>
      <w:numFmt w:val="bullet"/>
      <w:lvlText w:val="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66F66"/>
    <w:multiLevelType w:val="hybridMultilevel"/>
    <w:tmpl w:val="C28E5ADC"/>
    <w:lvl w:ilvl="0" w:tplc="35A8F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96C29"/>
    <w:multiLevelType w:val="hybridMultilevel"/>
    <w:tmpl w:val="5A3C0C66"/>
    <w:lvl w:ilvl="0" w:tplc="F19A6908">
      <w:start w:val="1"/>
      <w:numFmt w:val="upperRoman"/>
      <w:lvlText w:val="%1"/>
      <w:lvlJc w:val="left"/>
      <w:pPr>
        <w:ind w:left="263" w:hanging="272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C15A0A12">
      <w:numFmt w:val="bullet"/>
      <w:lvlText w:val="•"/>
      <w:lvlJc w:val="left"/>
      <w:pPr>
        <w:ind w:left="1204" w:hanging="272"/>
      </w:pPr>
      <w:rPr>
        <w:rFonts w:hint="default"/>
        <w:lang w:val="pt-PT" w:eastAsia="pt-PT" w:bidi="pt-PT"/>
      </w:rPr>
    </w:lvl>
    <w:lvl w:ilvl="2" w:tplc="C8D40DBC">
      <w:numFmt w:val="bullet"/>
      <w:lvlText w:val="•"/>
      <w:lvlJc w:val="left"/>
      <w:pPr>
        <w:ind w:left="2148" w:hanging="272"/>
      </w:pPr>
      <w:rPr>
        <w:rFonts w:hint="default"/>
        <w:lang w:val="pt-PT" w:eastAsia="pt-PT" w:bidi="pt-PT"/>
      </w:rPr>
    </w:lvl>
    <w:lvl w:ilvl="3" w:tplc="58227D30">
      <w:numFmt w:val="bullet"/>
      <w:lvlText w:val="•"/>
      <w:lvlJc w:val="left"/>
      <w:pPr>
        <w:ind w:left="3092" w:hanging="272"/>
      </w:pPr>
      <w:rPr>
        <w:rFonts w:hint="default"/>
        <w:lang w:val="pt-PT" w:eastAsia="pt-PT" w:bidi="pt-PT"/>
      </w:rPr>
    </w:lvl>
    <w:lvl w:ilvl="4" w:tplc="099C1F58">
      <w:numFmt w:val="bullet"/>
      <w:lvlText w:val="•"/>
      <w:lvlJc w:val="left"/>
      <w:pPr>
        <w:ind w:left="4036" w:hanging="272"/>
      </w:pPr>
      <w:rPr>
        <w:rFonts w:hint="default"/>
        <w:lang w:val="pt-PT" w:eastAsia="pt-PT" w:bidi="pt-PT"/>
      </w:rPr>
    </w:lvl>
    <w:lvl w:ilvl="5" w:tplc="DE8ACF64">
      <w:numFmt w:val="bullet"/>
      <w:lvlText w:val="•"/>
      <w:lvlJc w:val="left"/>
      <w:pPr>
        <w:ind w:left="4980" w:hanging="272"/>
      </w:pPr>
      <w:rPr>
        <w:rFonts w:hint="default"/>
        <w:lang w:val="pt-PT" w:eastAsia="pt-PT" w:bidi="pt-PT"/>
      </w:rPr>
    </w:lvl>
    <w:lvl w:ilvl="6" w:tplc="B970AD92">
      <w:numFmt w:val="bullet"/>
      <w:lvlText w:val="•"/>
      <w:lvlJc w:val="left"/>
      <w:pPr>
        <w:ind w:left="5924" w:hanging="272"/>
      </w:pPr>
      <w:rPr>
        <w:rFonts w:hint="default"/>
        <w:lang w:val="pt-PT" w:eastAsia="pt-PT" w:bidi="pt-PT"/>
      </w:rPr>
    </w:lvl>
    <w:lvl w:ilvl="7" w:tplc="29587BDC">
      <w:numFmt w:val="bullet"/>
      <w:lvlText w:val="•"/>
      <w:lvlJc w:val="left"/>
      <w:pPr>
        <w:ind w:left="6868" w:hanging="272"/>
      </w:pPr>
      <w:rPr>
        <w:rFonts w:hint="default"/>
        <w:lang w:val="pt-PT" w:eastAsia="pt-PT" w:bidi="pt-PT"/>
      </w:rPr>
    </w:lvl>
    <w:lvl w:ilvl="8" w:tplc="2BDAC354">
      <w:numFmt w:val="bullet"/>
      <w:lvlText w:val="•"/>
      <w:lvlJc w:val="left"/>
      <w:pPr>
        <w:ind w:left="7812" w:hanging="272"/>
      </w:pPr>
      <w:rPr>
        <w:rFonts w:hint="default"/>
        <w:lang w:val="pt-PT" w:eastAsia="pt-PT" w:bidi="pt-PT"/>
      </w:rPr>
    </w:lvl>
  </w:abstractNum>
  <w:abstractNum w:abstractNumId="1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5B40438"/>
    <w:multiLevelType w:val="hybridMultilevel"/>
    <w:tmpl w:val="2FE4B6DE"/>
    <w:lvl w:ilvl="0" w:tplc="096E3A34">
      <w:start w:val="1"/>
      <w:numFmt w:val="upperRoman"/>
      <w:lvlText w:val="%1"/>
      <w:lvlJc w:val="left"/>
      <w:pPr>
        <w:ind w:left="263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2BB2B9A4">
      <w:numFmt w:val="bullet"/>
      <w:lvlText w:val="•"/>
      <w:lvlJc w:val="left"/>
      <w:pPr>
        <w:ind w:left="1204" w:hanging="284"/>
      </w:pPr>
      <w:rPr>
        <w:rFonts w:hint="default"/>
        <w:lang w:val="pt-PT" w:eastAsia="pt-PT" w:bidi="pt-PT"/>
      </w:rPr>
    </w:lvl>
    <w:lvl w:ilvl="2" w:tplc="38E29B00">
      <w:numFmt w:val="bullet"/>
      <w:lvlText w:val="•"/>
      <w:lvlJc w:val="left"/>
      <w:pPr>
        <w:ind w:left="2148" w:hanging="284"/>
      </w:pPr>
      <w:rPr>
        <w:rFonts w:hint="default"/>
        <w:lang w:val="pt-PT" w:eastAsia="pt-PT" w:bidi="pt-PT"/>
      </w:rPr>
    </w:lvl>
    <w:lvl w:ilvl="3" w:tplc="B694DB12">
      <w:numFmt w:val="bullet"/>
      <w:lvlText w:val="•"/>
      <w:lvlJc w:val="left"/>
      <w:pPr>
        <w:ind w:left="3092" w:hanging="284"/>
      </w:pPr>
      <w:rPr>
        <w:rFonts w:hint="default"/>
        <w:lang w:val="pt-PT" w:eastAsia="pt-PT" w:bidi="pt-PT"/>
      </w:rPr>
    </w:lvl>
    <w:lvl w:ilvl="4" w:tplc="E1561EE4">
      <w:numFmt w:val="bullet"/>
      <w:lvlText w:val="•"/>
      <w:lvlJc w:val="left"/>
      <w:pPr>
        <w:ind w:left="4036" w:hanging="284"/>
      </w:pPr>
      <w:rPr>
        <w:rFonts w:hint="default"/>
        <w:lang w:val="pt-PT" w:eastAsia="pt-PT" w:bidi="pt-PT"/>
      </w:rPr>
    </w:lvl>
    <w:lvl w:ilvl="5" w:tplc="596255FA">
      <w:numFmt w:val="bullet"/>
      <w:lvlText w:val="•"/>
      <w:lvlJc w:val="left"/>
      <w:pPr>
        <w:ind w:left="4980" w:hanging="284"/>
      </w:pPr>
      <w:rPr>
        <w:rFonts w:hint="default"/>
        <w:lang w:val="pt-PT" w:eastAsia="pt-PT" w:bidi="pt-PT"/>
      </w:rPr>
    </w:lvl>
    <w:lvl w:ilvl="6" w:tplc="B050842C">
      <w:numFmt w:val="bullet"/>
      <w:lvlText w:val="•"/>
      <w:lvlJc w:val="left"/>
      <w:pPr>
        <w:ind w:left="5924" w:hanging="284"/>
      </w:pPr>
      <w:rPr>
        <w:rFonts w:hint="default"/>
        <w:lang w:val="pt-PT" w:eastAsia="pt-PT" w:bidi="pt-PT"/>
      </w:rPr>
    </w:lvl>
    <w:lvl w:ilvl="7" w:tplc="F00CA712">
      <w:numFmt w:val="bullet"/>
      <w:lvlText w:val="•"/>
      <w:lvlJc w:val="left"/>
      <w:pPr>
        <w:ind w:left="6868" w:hanging="284"/>
      </w:pPr>
      <w:rPr>
        <w:rFonts w:hint="default"/>
        <w:lang w:val="pt-PT" w:eastAsia="pt-PT" w:bidi="pt-PT"/>
      </w:rPr>
    </w:lvl>
    <w:lvl w:ilvl="8" w:tplc="CA0A8F40">
      <w:numFmt w:val="bullet"/>
      <w:lvlText w:val="•"/>
      <w:lvlJc w:val="left"/>
      <w:pPr>
        <w:ind w:left="7812" w:hanging="284"/>
      </w:pPr>
      <w:rPr>
        <w:rFonts w:hint="default"/>
        <w:lang w:val="pt-PT" w:eastAsia="pt-PT" w:bidi="pt-PT"/>
      </w:rPr>
    </w:lvl>
  </w:abstractNum>
  <w:abstractNum w:abstractNumId="16" w15:restartNumberingAfterBreak="0">
    <w:nsid w:val="70704F50"/>
    <w:multiLevelType w:val="hybridMultilevel"/>
    <w:tmpl w:val="E8ACB978"/>
    <w:lvl w:ilvl="0" w:tplc="CACC8022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1B52762E">
      <w:numFmt w:val="bullet"/>
      <w:lvlText w:val="•"/>
      <w:lvlJc w:val="left"/>
      <w:pPr>
        <w:ind w:left="1726" w:hanging="360"/>
      </w:pPr>
      <w:rPr>
        <w:rFonts w:hint="default"/>
        <w:lang w:val="pt-PT" w:eastAsia="pt-PT" w:bidi="pt-PT"/>
      </w:rPr>
    </w:lvl>
    <w:lvl w:ilvl="2" w:tplc="3EB4F964">
      <w:numFmt w:val="bullet"/>
      <w:lvlText w:val="•"/>
      <w:lvlJc w:val="left"/>
      <w:pPr>
        <w:ind w:left="2612" w:hanging="360"/>
      </w:pPr>
      <w:rPr>
        <w:rFonts w:hint="default"/>
        <w:lang w:val="pt-PT" w:eastAsia="pt-PT" w:bidi="pt-PT"/>
      </w:rPr>
    </w:lvl>
    <w:lvl w:ilvl="3" w:tplc="0D909B94">
      <w:numFmt w:val="bullet"/>
      <w:lvlText w:val="•"/>
      <w:lvlJc w:val="left"/>
      <w:pPr>
        <w:ind w:left="3498" w:hanging="360"/>
      </w:pPr>
      <w:rPr>
        <w:rFonts w:hint="default"/>
        <w:lang w:val="pt-PT" w:eastAsia="pt-PT" w:bidi="pt-PT"/>
      </w:rPr>
    </w:lvl>
    <w:lvl w:ilvl="4" w:tplc="F6944EB8">
      <w:numFmt w:val="bullet"/>
      <w:lvlText w:val="•"/>
      <w:lvlJc w:val="left"/>
      <w:pPr>
        <w:ind w:left="4384" w:hanging="360"/>
      </w:pPr>
      <w:rPr>
        <w:rFonts w:hint="default"/>
        <w:lang w:val="pt-PT" w:eastAsia="pt-PT" w:bidi="pt-PT"/>
      </w:rPr>
    </w:lvl>
    <w:lvl w:ilvl="5" w:tplc="74B48A4C">
      <w:numFmt w:val="bullet"/>
      <w:lvlText w:val="•"/>
      <w:lvlJc w:val="left"/>
      <w:pPr>
        <w:ind w:left="5270" w:hanging="360"/>
      </w:pPr>
      <w:rPr>
        <w:rFonts w:hint="default"/>
        <w:lang w:val="pt-PT" w:eastAsia="pt-PT" w:bidi="pt-PT"/>
      </w:rPr>
    </w:lvl>
    <w:lvl w:ilvl="6" w:tplc="EBFCE252">
      <w:numFmt w:val="bullet"/>
      <w:lvlText w:val="•"/>
      <w:lvlJc w:val="left"/>
      <w:pPr>
        <w:ind w:left="6156" w:hanging="360"/>
      </w:pPr>
      <w:rPr>
        <w:rFonts w:hint="default"/>
        <w:lang w:val="pt-PT" w:eastAsia="pt-PT" w:bidi="pt-PT"/>
      </w:rPr>
    </w:lvl>
    <w:lvl w:ilvl="7" w:tplc="271A859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8" w:tplc="413E4D8E">
      <w:numFmt w:val="bullet"/>
      <w:lvlText w:val="•"/>
      <w:lvlJc w:val="left"/>
      <w:pPr>
        <w:ind w:left="7928" w:hanging="360"/>
      </w:pPr>
      <w:rPr>
        <w:rFonts w:hint="default"/>
        <w:lang w:val="pt-PT" w:eastAsia="pt-PT" w:bidi="pt-PT"/>
      </w:rPr>
    </w:lvl>
  </w:abstractNum>
  <w:abstractNum w:abstractNumId="17" w15:restartNumberingAfterBreak="0">
    <w:nsid w:val="70F546F7"/>
    <w:multiLevelType w:val="hybridMultilevel"/>
    <w:tmpl w:val="73C4901C"/>
    <w:lvl w:ilvl="0" w:tplc="E6B8D312">
      <w:start w:val="1"/>
      <w:numFmt w:val="upperRoman"/>
      <w:lvlText w:val="%1"/>
      <w:lvlJc w:val="left"/>
      <w:pPr>
        <w:ind w:left="263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DE8891DC">
      <w:numFmt w:val="bullet"/>
      <w:lvlText w:val="•"/>
      <w:lvlJc w:val="left"/>
      <w:pPr>
        <w:ind w:left="1204" w:hanging="233"/>
      </w:pPr>
      <w:rPr>
        <w:rFonts w:hint="default"/>
        <w:lang w:val="pt-PT" w:eastAsia="pt-PT" w:bidi="pt-PT"/>
      </w:rPr>
    </w:lvl>
    <w:lvl w:ilvl="2" w:tplc="0A2C9E9A">
      <w:numFmt w:val="bullet"/>
      <w:lvlText w:val="•"/>
      <w:lvlJc w:val="left"/>
      <w:pPr>
        <w:ind w:left="2148" w:hanging="233"/>
      </w:pPr>
      <w:rPr>
        <w:rFonts w:hint="default"/>
        <w:lang w:val="pt-PT" w:eastAsia="pt-PT" w:bidi="pt-PT"/>
      </w:rPr>
    </w:lvl>
    <w:lvl w:ilvl="3" w:tplc="E4923656">
      <w:numFmt w:val="bullet"/>
      <w:lvlText w:val="•"/>
      <w:lvlJc w:val="left"/>
      <w:pPr>
        <w:ind w:left="3092" w:hanging="233"/>
      </w:pPr>
      <w:rPr>
        <w:rFonts w:hint="default"/>
        <w:lang w:val="pt-PT" w:eastAsia="pt-PT" w:bidi="pt-PT"/>
      </w:rPr>
    </w:lvl>
    <w:lvl w:ilvl="4" w:tplc="CEB8FF60">
      <w:numFmt w:val="bullet"/>
      <w:lvlText w:val="•"/>
      <w:lvlJc w:val="left"/>
      <w:pPr>
        <w:ind w:left="4036" w:hanging="233"/>
      </w:pPr>
      <w:rPr>
        <w:rFonts w:hint="default"/>
        <w:lang w:val="pt-PT" w:eastAsia="pt-PT" w:bidi="pt-PT"/>
      </w:rPr>
    </w:lvl>
    <w:lvl w:ilvl="5" w:tplc="9D10F8CE">
      <w:numFmt w:val="bullet"/>
      <w:lvlText w:val="•"/>
      <w:lvlJc w:val="left"/>
      <w:pPr>
        <w:ind w:left="4980" w:hanging="233"/>
      </w:pPr>
      <w:rPr>
        <w:rFonts w:hint="default"/>
        <w:lang w:val="pt-PT" w:eastAsia="pt-PT" w:bidi="pt-PT"/>
      </w:rPr>
    </w:lvl>
    <w:lvl w:ilvl="6" w:tplc="A2787D52">
      <w:numFmt w:val="bullet"/>
      <w:lvlText w:val="•"/>
      <w:lvlJc w:val="left"/>
      <w:pPr>
        <w:ind w:left="5924" w:hanging="233"/>
      </w:pPr>
      <w:rPr>
        <w:rFonts w:hint="default"/>
        <w:lang w:val="pt-PT" w:eastAsia="pt-PT" w:bidi="pt-PT"/>
      </w:rPr>
    </w:lvl>
    <w:lvl w:ilvl="7" w:tplc="3A124082">
      <w:numFmt w:val="bullet"/>
      <w:lvlText w:val="•"/>
      <w:lvlJc w:val="left"/>
      <w:pPr>
        <w:ind w:left="6868" w:hanging="233"/>
      </w:pPr>
      <w:rPr>
        <w:rFonts w:hint="default"/>
        <w:lang w:val="pt-PT" w:eastAsia="pt-PT" w:bidi="pt-PT"/>
      </w:rPr>
    </w:lvl>
    <w:lvl w:ilvl="8" w:tplc="32728E34">
      <w:numFmt w:val="bullet"/>
      <w:lvlText w:val="•"/>
      <w:lvlJc w:val="left"/>
      <w:pPr>
        <w:ind w:left="7812" w:hanging="233"/>
      </w:pPr>
      <w:rPr>
        <w:rFonts w:hint="default"/>
        <w:lang w:val="pt-PT" w:eastAsia="pt-PT" w:bidi="pt-PT"/>
      </w:rPr>
    </w:lvl>
  </w:abstractNum>
  <w:abstractNum w:abstractNumId="1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1467A"/>
    <w:multiLevelType w:val="hybridMultilevel"/>
    <w:tmpl w:val="137A860E"/>
    <w:lvl w:ilvl="0" w:tplc="71820282">
      <w:start w:val="1"/>
      <w:numFmt w:val="lowerLetter"/>
      <w:lvlText w:val="%1)"/>
      <w:lvlJc w:val="left"/>
      <w:pPr>
        <w:ind w:left="122" w:hanging="396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pt-PT" w:bidi="pt-PT"/>
      </w:rPr>
    </w:lvl>
    <w:lvl w:ilvl="1" w:tplc="7D58FAE6">
      <w:numFmt w:val="bullet"/>
      <w:lvlText w:val="•"/>
      <w:lvlJc w:val="left"/>
      <w:pPr>
        <w:ind w:left="1078" w:hanging="396"/>
      </w:pPr>
      <w:rPr>
        <w:rFonts w:hint="default"/>
        <w:lang w:val="pt-PT" w:eastAsia="pt-PT" w:bidi="pt-PT"/>
      </w:rPr>
    </w:lvl>
    <w:lvl w:ilvl="2" w:tplc="04800F1C">
      <w:numFmt w:val="bullet"/>
      <w:lvlText w:val="•"/>
      <w:lvlJc w:val="left"/>
      <w:pPr>
        <w:ind w:left="2036" w:hanging="396"/>
      </w:pPr>
      <w:rPr>
        <w:rFonts w:hint="default"/>
        <w:lang w:val="pt-PT" w:eastAsia="pt-PT" w:bidi="pt-PT"/>
      </w:rPr>
    </w:lvl>
    <w:lvl w:ilvl="3" w:tplc="FCD06790">
      <w:numFmt w:val="bullet"/>
      <w:lvlText w:val="•"/>
      <w:lvlJc w:val="left"/>
      <w:pPr>
        <w:ind w:left="2994" w:hanging="396"/>
      </w:pPr>
      <w:rPr>
        <w:rFonts w:hint="default"/>
        <w:lang w:val="pt-PT" w:eastAsia="pt-PT" w:bidi="pt-PT"/>
      </w:rPr>
    </w:lvl>
    <w:lvl w:ilvl="4" w:tplc="7980C46A">
      <w:numFmt w:val="bullet"/>
      <w:lvlText w:val="•"/>
      <w:lvlJc w:val="left"/>
      <w:pPr>
        <w:ind w:left="3952" w:hanging="396"/>
      </w:pPr>
      <w:rPr>
        <w:rFonts w:hint="default"/>
        <w:lang w:val="pt-PT" w:eastAsia="pt-PT" w:bidi="pt-PT"/>
      </w:rPr>
    </w:lvl>
    <w:lvl w:ilvl="5" w:tplc="927C03CA">
      <w:numFmt w:val="bullet"/>
      <w:lvlText w:val="•"/>
      <w:lvlJc w:val="left"/>
      <w:pPr>
        <w:ind w:left="4910" w:hanging="396"/>
      </w:pPr>
      <w:rPr>
        <w:rFonts w:hint="default"/>
        <w:lang w:val="pt-PT" w:eastAsia="pt-PT" w:bidi="pt-PT"/>
      </w:rPr>
    </w:lvl>
    <w:lvl w:ilvl="6" w:tplc="CCE62826">
      <w:numFmt w:val="bullet"/>
      <w:lvlText w:val="•"/>
      <w:lvlJc w:val="left"/>
      <w:pPr>
        <w:ind w:left="5868" w:hanging="396"/>
      </w:pPr>
      <w:rPr>
        <w:rFonts w:hint="default"/>
        <w:lang w:val="pt-PT" w:eastAsia="pt-PT" w:bidi="pt-PT"/>
      </w:rPr>
    </w:lvl>
    <w:lvl w:ilvl="7" w:tplc="93FA555A">
      <w:numFmt w:val="bullet"/>
      <w:lvlText w:val="•"/>
      <w:lvlJc w:val="left"/>
      <w:pPr>
        <w:ind w:left="6826" w:hanging="396"/>
      </w:pPr>
      <w:rPr>
        <w:rFonts w:hint="default"/>
        <w:lang w:val="pt-PT" w:eastAsia="pt-PT" w:bidi="pt-PT"/>
      </w:rPr>
    </w:lvl>
    <w:lvl w:ilvl="8" w:tplc="D4A8E900">
      <w:numFmt w:val="bullet"/>
      <w:lvlText w:val="•"/>
      <w:lvlJc w:val="left"/>
      <w:pPr>
        <w:ind w:left="7784" w:hanging="396"/>
      </w:pPr>
      <w:rPr>
        <w:rFonts w:hint="default"/>
        <w:lang w:val="pt-PT" w:eastAsia="pt-PT" w:bidi="pt-P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18"/>
  </w:num>
  <w:num w:numId="7">
    <w:abstractNumId w:val="2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0"/>
  </w:num>
  <w:num w:numId="12">
    <w:abstractNumId w:val="16"/>
  </w:num>
  <w:num w:numId="13">
    <w:abstractNumId w:val="15"/>
  </w:num>
  <w:num w:numId="14">
    <w:abstractNumId w:val="4"/>
  </w:num>
  <w:num w:numId="15">
    <w:abstractNumId w:val="11"/>
  </w:num>
  <w:num w:numId="16">
    <w:abstractNumId w:val="17"/>
  </w:num>
  <w:num w:numId="17">
    <w:abstractNumId w:val="19"/>
  </w:num>
  <w:num w:numId="18">
    <w:abstractNumId w:val="12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0"/>
  </w:num>
  <w:num w:numId="23">
    <w:abstractNumId w:val="7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8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3234D"/>
    <w:rsid w:val="000B431A"/>
    <w:rsid w:val="000C109C"/>
    <w:rsid w:val="000D108D"/>
    <w:rsid w:val="000E5A0B"/>
    <w:rsid w:val="000E6198"/>
    <w:rsid w:val="000F1AE0"/>
    <w:rsid w:val="000F4144"/>
    <w:rsid w:val="000F5256"/>
    <w:rsid w:val="000F6F21"/>
    <w:rsid w:val="000F75C4"/>
    <w:rsid w:val="00130234"/>
    <w:rsid w:val="001330DD"/>
    <w:rsid w:val="001D5D07"/>
    <w:rsid w:val="001E55FA"/>
    <w:rsid w:val="001F50BB"/>
    <w:rsid w:val="00214649"/>
    <w:rsid w:val="00226B53"/>
    <w:rsid w:val="00242189"/>
    <w:rsid w:val="00242689"/>
    <w:rsid w:val="00250B46"/>
    <w:rsid w:val="00257328"/>
    <w:rsid w:val="00270893"/>
    <w:rsid w:val="00273AE5"/>
    <w:rsid w:val="0028745D"/>
    <w:rsid w:val="002946C9"/>
    <w:rsid w:val="002A78BC"/>
    <w:rsid w:val="002B305A"/>
    <w:rsid w:val="002B4771"/>
    <w:rsid w:val="002C24B9"/>
    <w:rsid w:val="002C3C45"/>
    <w:rsid w:val="002C3FEC"/>
    <w:rsid w:val="002C7AE3"/>
    <w:rsid w:val="002D0279"/>
    <w:rsid w:val="002D0C7E"/>
    <w:rsid w:val="002D631C"/>
    <w:rsid w:val="002D78D2"/>
    <w:rsid w:val="002F4480"/>
    <w:rsid w:val="002F550A"/>
    <w:rsid w:val="00300B15"/>
    <w:rsid w:val="0031006E"/>
    <w:rsid w:val="00334A8A"/>
    <w:rsid w:val="0035588A"/>
    <w:rsid w:val="003A04C2"/>
    <w:rsid w:val="003A3609"/>
    <w:rsid w:val="003A5864"/>
    <w:rsid w:val="003C6B72"/>
    <w:rsid w:val="003E49C4"/>
    <w:rsid w:val="003F7D63"/>
    <w:rsid w:val="00413C6F"/>
    <w:rsid w:val="0043710D"/>
    <w:rsid w:val="004524A1"/>
    <w:rsid w:val="004A0E6C"/>
    <w:rsid w:val="004C7F52"/>
    <w:rsid w:val="004D15CD"/>
    <w:rsid w:val="004D2138"/>
    <w:rsid w:val="004D6D91"/>
    <w:rsid w:val="004E3308"/>
    <w:rsid w:val="0050339C"/>
    <w:rsid w:val="00515035"/>
    <w:rsid w:val="0054589A"/>
    <w:rsid w:val="00550553"/>
    <w:rsid w:val="0058504E"/>
    <w:rsid w:val="005F7ADB"/>
    <w:rsid w:val="006035C7"/>
    <w:rsid w:val="00604124"/>
    <w:rsid w:val="00621FAB"/>
    <w:rsid w:val="00625F7B"/>
    <w:rsid w:val="006421FF"/>
    <w:rsid w:val="00645E61"/>
    <w:rsid w:val="00682820"/>
    <w:rsid w:val="00690BC1"/>
    <w:rsid w:val="00696D8E"/>
    <w:rsid w:val="006C2F55"/>
    <w:rsid w:val="006D6959"/>
    <w:rsid w:val="006E0655"/>
    <w:rsid w:val="006E47EF"/>
    <w:rsid w:val="006F4E42"/>
    <w:rsid w:val="006F5B7F"/>
    <w:rsid w:val="00703939"/>
    <w:rsid w:val="00723D4E"/>
    <w:rsid w:val="00732F17"/>
    <w:rsid w:val="00733EAE"/>
    <w:rsid w:val="00737C6C"/>
    <w:rsid w:val="00742868"/>
    <w:rsid w:val="007456FE"/>
    <w:rsid w:val="00763D4F"/>
    <w:rsid w:val="00793221"/>
    <w:rsid w:val="007941ED"/>
    <w:rsid w:val="007C3E08"/>
    <w:rsid w:val="007D229B"/>
    <w:rsid w:val="007E0756"/>
    <w:rsid w:val="007E7D76"/>
    <w:rsid w:val="008363B0"/>
    <w:rsid w:val="008412F2"/>
    <w:rsid w:val="00857F00"/>
    <w:rsid w:val="00880F92"/>
    <w:rsid w:val="00881D34"/>
    <w:rsid w:val="00887B53"/>
    <w:rsid w:val="00887F35"/>
    <w:rsid w:val="00891AF9"/>
    <w:rsid w:val="00893335"/>
    <w:rsid w:val="008A1383"/>
    <w:rsid w:val="008B2474"/>
    <w:rsid w:val="008C6BE9"/>
    <w:rsid w:val="008D4B46"/>
    <w:rsid w:val="008F00BD"/>
    <w:rsid w:val="00942E0A"/>
    <w:rsid w:val="00967625"/>
    <w:rsid w:val="00970C70"/>
    <w:rsid w:val="0098537A"/>
    <w:rsid w:val="009B0508"/>
    <w:rsid w:val="009B0B15"/>
    <w:rsid w:val="009B7046"/>
    <w:rsid w:val="009D7689"/>
    <w:rsid w:val="009E21FA"/>
    <w:rsid w:val="009F2FDC"/>
    <w:rsid w:val="00A0091C"/>
    <w:rsid w:val="00A00D59"/>
    <w:rsid w:val="00A221A8"/>
    <w:rsid w:val="00A243FC"/>
    <w:rsid w:val="00A2464E"/>
    <w:rsid w:val="00A737B9"/>
    <w:rsid w:val="00A90597"/>
    <w:rsid w:val="00AD4A71"/>
    <w:rsid w:val="00AF4DE0"/>
    <w:rsid w:val="00AF5993"/>
    <w:rsid w:val="00B07D18"/>
    <w:rsid w:val="00B25EAB"/>
    <w:rsid w:val="00B4705D"/>
    <w:rsid w:val="00B870AA"/>
    <w:rsid w:val="00BA60C3"/>
    <w:rsid w:val="00BB4F2E"/>
    <w:rsid w:val="00BB632B"/>
    <w:rsid w:val="00BE7435"/>
    <w:rsid w:val="00C35985"/>
    <w:rsid w:val="00C4119C"/>
    <w:rsid w:val="00C5133F"/>
    <w:rsid w:val="00C71A08"/>
    <w:rsid w:val="00C75F30"/>
    <w:rsid w:val="00C94157"/>
    <w:rsid w:val="00CA26E0"/>
    <w:rsid w:val="00CB4C05"/>
    <w:rsid w:val="00CB62E0"/>
    <w:rsid w:val="00CD61A2"/>
    <w:rsid w:val="00CF05E7"/>
    <w:rsid w:val="00CF2A2D"/>
    <w:rsid w:val="00D05A61"/>
    <w:rsid w:val="00D12154"/>
    <w:rsid w:val="00D12B60"/>
    <w:rsid w:val="00D221A8"/>
    <w:rsid w:val="00D37AC0"/>
    <w:rsid w:val="00D41E27"/>
    <w:rsid w:val="00D50FF4"/>
    <w:rsid w:val="00D82766"/>
    <w:rsid w:val="00D86A49"/>
    <w:rsid w:val="00D94BB7"/>
    <w:rsid w:val="00DA02E0"/>
    <w:rsid w:val="00DA187F"/>
    <w:rsid w:val="00DA47C4"/>
    <w:rsid w:val="00DB32CE"/>
    <w:rsid w:val="00DF6551"/>
    <w:rsid w:val="00E146BF"/>
    <w:rsid w:val="00E27141"/>
    <w:rsid w:val="00E317DC"/>
    <w:rsid w:val="00E334DF"/>
    <w:rsid w:val="00E3445F"/>
    <w:rsid w:val="00E40FE9"/>
    <w:rsid w:val="00E5128A"/>
    <w:rsid w:val="00E55ACA"/>
    <w:rsid w:val="00E95AF6"/>
    <w:rsid w:val="00E96557"/>
    <w:rsid w:val="00EA3D0A"/>
    <w:rsid w:val="00EA451C"/>
    <w:rsid w:val="00EC53D2"/>
    <w:rsid w:val="00ED5473"/>
    <w:rsid w:val="00EE4559"/>
    <w:rsid w:val="00EE7987"/>
    <w:rsid w:val="00EF1B11"/>
    <w:rsid w:val="00EF57D5"/>
    <w:rsid w:val="00F10C3A"/>
    <w:rsid w:val="00F13196"/>
    <w:rsid w:val="00F43B86"/>
    <w:rsid w:val="00F56777"/>
    <w:rsid w:val="00F6337E"/>
    <w:rsid w:val="00F751AA"/>
    <w:rsid w:val="00F9223F"/>
    <w:rsid w:val="00F93502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726F-5259-46F0-8D0F-CE2EC9BC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3149</Words>
  <Characters>17010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4</cp:revision>
  <cp:lastPrinted>2020-12-17T14:09:00Z</cp:lastPrinted>
  <dcterms:created xsi:type="dcterms:W3CDTF">2020-12-17T13:58:00Z</dcterms:created>
  <dcterms:modified xsi:type="dcterms:W3CDTF">2020-12-17T14:11:00Z</dcterms:modified>
</cp:coreProperties>
</file>